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40" w:rsidRDefault="00F75540" w:rsidP="00F75540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F75540" w:rsidRDefault="00F75540" w:rsidP="00F75540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Ребрихинского района </w:t>
      </w:r>
    </w:p>
    <w:p w:rsidR="00F75540" w:rsidRDefault="00F75540" w:rsidP="00F75540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516F2" w:rsidRDefault="00F75540" w:rsidP="00F75540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2B20">
        <w:rPr>
          <w:sz w:val="28"/>
          <w:szCs w:val="28"/>
        </w:rPr>
        <w:t xml:space="preserve">15.06.2020 </w:t>
      </w:r>
      <w:r>
        <w:rPr>
          <w:sz w:val="28"/>
          <w:szCs w:val="28"/>
        </w:rPr>
        <w:t xml:space="preserve"> № </w:t>
      </w:r>
      <w:r w:rsidR="00312B20">
        <w:rPr>
          <w:sz w:val="28"/>
          <w:szCs w:val="28"/>
        </w:rPr>
        <w:t>287</w:t>
      </w:r>
    </w:p>
    <w:p w:rsidR="00BB1043" w:rsidRDefault="001516F2" w:rsidP="00F75540">
      <w:pPr>
        <w:autoSpaceDE w:val="0"/>
        <w:autoSpaceDN w:val="0"/>
        <w:adjustRightInd w:val="0"/>
        <w:ind w:left="5040"/>
        <w:rPr>
          <w:sz w:val="28"/>
          <w:szCs w:val="28"/>
        </w:rPr>
      </w:pPr>
      <w:proofErr w:type="gramStart"/>
      <w:r>
        <w:rPr>
          <w:sz w:val="28"/>
          <w:szCs w:val="28"/>
        </w:rPr>
        <w:t>(с изм. от 20.12.2021 №</w:t>
      </w:r>
      <w:r w:rsidR="00BB1043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="00BB1043">
        <w:rPr>
          <w:sz w:val="28"/>
          <w:szCs w:val="28"/>
        </w:rPr>
        <w:t>,</w:t>
      </w:r>
      <w:proofErr w:type="gramEnd"/>
    </w:p>
    <w:p w:rsidR="00F75540" w:rsidRDefault="00BB1043" w:rsidP="00F75540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20.07.2022 № 333</w:t>
      </w:r>
      <w:r w:rsidR="00F12DD7">
        <w:rPr>
          <w:sz w:val="28"/>
          <w:szCs w:val="28"/>
        </w:rPr>
        <w:t>, 14.11.2022 №597</w:t>
      </w:r>
      <w:bookmarkStart w:id="0" w:name="_GoBack"/>
      <w:bookmarkEnd w:id="0"/>
      <w:r w:rsidR="001516F2">
        <w:rPr>
          <w:sz w:val="28"/>
          <w:szCs w:val="28"/>
        </w:rPr>
        <w:t>)</w:t>
      </w:r>
    </w:p>
    <w:p w:rsidR="00F75540" w:rsidRDefault="00F75540" w:rsidP="00F75540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F75540" w:rsidRDefault="00F75540" w:rsidP="00F75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75540" w:rsidRDefault="00F75540" w:rsidP="00F755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75540" w:rsidRDefault="00F75540" w:rsidP="00F755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жильем молодых семей в Ребрихинском районе»</w:t>
      </w:r>
    </w:p>
    <w:p w:rsidR="00F75540" w:rsidRDefault="00F75540" w:rsidP="00F755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3060"/>
        <w:gridCol w:w="6476"/>
      </w:tblGrid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</w:pPr>
            <w:r w:rsidRPr="00F7554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 xml:space="preserve">Комитет по культуре и делам молодежи Администрации Ребрихинского района Алтайского края </w:t>
            </w: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>отсутствуют</w:t>
            </w: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>физические лица (молодые семьи) (по согласованию)</w:t>
            </w: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</w:pPr>
            <w:r w:rsidRPr="00F75540">
              <w:rPr>
                <w:rStyle w:val="a3"/>
                <w:b w:val="0"/>
                <w:bCs/>
                <w:color w:val="auto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>отсутствуют</w:t>
            </w:r>
          </w:p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 xml:space="preserve">Цель программы         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>государственная поддержка в решении жилищной проблемы молодых семей, проживающих в Ребрихинском районе, признанных, в установленном порядке, нуждающимися в улучшении жилищных условий</w:t>
            </w: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540">
              <w:rPr>
                <w:sz w:val="28"/>
                <w:szCs w:val="28"/>
              </w:rPr>
              <w:t xml:space="preserve">Задачи программы       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40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– участникам муниципальной программы социальных выплат на приобретение или строительство жилья</w:t>
            </w: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</w:pPr>
            <w:r w:rsidRPr="00F75540">
              <w:rPr>
                <w:sz w:val="28"/>
                <w:szCs w:val="28"/>
              </w:rPr>
              <w:t xml:space="preserve">Целевые индикаторы      и       показатели      программы               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5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жилищные условия (в том числе с использованием ипотечных жилищных кредитов и займов) за счет средств федерального, краевого и местных бюджетов </w:t>
            </w:r>
            <w:proofErr w:type="gramEnd"/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autoSpaceDE w:val="0"/>
              <w:autoSpaceDN w:val="0"/>
              <w:adjustRightInd w:val="0"/>
              <w:jc w:val="both"/>
            </w:pPr>
            <w:r w:rsidRPr="00F7554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76" w:type="dxa"/>
          </w:tcPr>
          <w:p w:rsidR="00F75540" w:rsidRPr="00F75540" w:rsidRDefault="00F75540" w:rsidP="00ED60ED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40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476" w:type="dxa"/>
          </w:tcPr>
          <w:p w:rsidR="00FD2AB5" w:rsidRPr="00054999" w:rsidRDefault="00FD2AB5" w:rsidP="00FD2A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10934,7</w:t>
            </w:r>
            <w:r w:rsidRPr="00054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рублей, в том числе:</w:t>
            </w:r>
          </w:p>
          <w:p w:rsidR="00FD2AB5" w:rsidRPr="00054999" w:rsidRDefault="00FD2AB5" w:rsidP="00FD2A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9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2196,3</w:t>
            </w:r>
            <w:r w:rsidRPr="000549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1094,6 </w:t>
            </w:r>
            <w:r w:rsidRPr="000549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                       </w:t>
            </w:r>
          </w:p>
          <w:p w:rsidR="00FD2AB5" w:rsidRPr="00054999" w:rsidRDefault="00FD2AB5" w:rsidP="00FD2A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1093,7</w:t>
            </w:r>
            <w:r w:rsidRPr="000549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</w:t>
            </w:r>
          </w:p>
          <w:p w:rsidR="00FD2AB5" w:rsidRPr="00054999" w:rsidRDefault="00FD2AB5" w:rsidP="00FD2A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9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(заемные) средства молодых  семей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6550,1</w:t>
            </w:r>
            <w:r w:rsidRPr="000549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F75540" w:rsidRPr="00F75540" w:rsidRDefault="00FD2AB5" w:rsidP="00FD2A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финансирования подлежат ежегодному уточнению в соответствии с бюджетом на очередной финансовый год. Финансирование программы является расходным обязательством муниципального образования Ребрихинский район Алтайского края. Финансирование программы осуществляется  через бухгалтерию Комитета по культуре и делам молодежи Администрации района</w:t>
            </w:r>
          </w:p>
        </w:tc>
      </w:tr>
      <w:tr w:rsidR="00F75540" w:rsidRPr="00F75540" w:rsidTr="00F75540">
        <w:tc>
          <w:tcPr>
            <w:tcW w:w="3060" w:type="dxa"/>
          </w:tcPr>
          <w:p w:rsidR="00F75540" w:rsidRPr="00F75540" w:rsidRDefault="00F75540" w:rsidP="00ED6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76" w:type="dxa"/>
          </w:tcPr>
          <w:p w:rsidR="00F75540" w:rsidRPr="00F75540" w:rsidRDefault="00326401" w:rsidP="00ED6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2026 году обеспечить жильем 8 молодых семей Ребрихинского района</w:t>
            </w:r>
          </w:p>
        </w:tc>
      </w:tr>
    </w:tbl>
    <w:p w:rsidR="00F75540" w:rsidRDefault="00F75540" w:rsidP="00F75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5540" w:rsidRDefault="00F75540" w:rsidP="00F75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муниципальной программы </w:t>
      </w:r>
    </w:p>
    <w:p w:rsidR="00F75540" w:rsidRDefault="00F75540" w:rsidP="00F755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540" w:rsidRPr="00076115" w:rsidRDefault="00F75540" w:rsidP="00F75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115">
        <w:rPr>
          <w:sz w:val="28"/>
          <w:szCs w:val="28"/>
        </w:rPr>
        <w:t xml:space="preserve">Поддержка молодых семей в целях улучшения жилищных условий является важнейшим направлением социальной политики Администрации Ребрихинского района. Реализация мероприятий </w:t>
      </w:r>
      <w:hyperlink r:id="rId6" w:history="1">
        <w:r w:rsidRPr="00076115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в 2016</w:t>
      </w:r>
      <w:r w:rsidRPr="00076115">
        <w:rPr>
          <w:sz w:val="28"/>
          <w:szCs w:val="28"/>
        </w:rPr>
        <w:t xml:space="preserve"> - 2020 годах демонстрирует ежегодный рост числа молодых семей, желающих стать ее участниками. По состоянию на 10 июня 2020 года на учете в качестве нуждающихся в улучшении жилищных условий состоит 338 молодых семьи (на ноябрь 2015</w:t>
      </w:r>
      <w:r>
        <w:rPr>
          <w:sz w:val="28"/>
          <w:szCs w:val="28"/>
        </w:rPr>
        <w:t xml:space="preserve"> </w:t>
      </w:r>
      <w:r w:rsidRPr="00076115">
        <w:rPr>
          <w:sz w:val="28"/>
          <w:szCs w:val="28"/>
        </w:rPr>
        <w:t xml:space="preserve">года 185), из них 10 изъявили желание получить государственную поддержку на приобретение или строительство жилья по программе «Обеспечение жильем молодых семей в Ребрихинском районе». С 2004 года в рамках </w:t>
      </w:r>
      <w:hyperlink r:id="rId7" w:history="1">
        <w:r w:rsidRPr="00076115">
          <w:rPr>
            <w:sz w:val="28"/>
            <w:szCs w:val="28"/>
          </w:rPr>
          <w:t>программы</w:t>
        </w:r>
      </w:hyperlink>
      <w:r w:rsidRPr="00076115">
        <w:rPr>
          <w:sz w:val="28"/>
          <w:szCs w:val="28"/>
        </w:rPr>
        <w:t xml:space="preserve"> улучшили свои жилищные условия  31 молодая семья Ребрихинского района. 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действия муниципальной </w:t>
      </w:r>
      <w:hyperlink r:id="rId8" w:history="1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с 2004 года  были разработаны правовые, финансовые и организационные механизмы государственной поддержки молодых семей, нуждающихся в улучшении жилищных условий. Определены формы взаимодействия </w:t>
      </w:r>
      <w:proofErr w:type="gramStart"/>
      <w:r>
        <w:rPr>
          <w:sz w:val="28"/>
          <w:szCs w:val="28"/>
        </w:rPr>
        <w:t>исполнителей</w:t>
      </w:r>
      <w:proofErr w:type="gramEnd"/>
      <w:r>
        <w:rPr>
          <w:sz w:val="28"/>
          <w:szCs w:val="28"/>
        </w:rPr>
        <w:t xml:space="preserve"> программы, создана система мониторинга ее реализации. </w:t>
      </w:r>
      <w:proofErr w:type="gramStart"/>
      <w:r>
        <w:rPr>
          <w:sz w:val="28"/>
          <w:szCs w:val="28"/>
        </w:rPr>
        <w:t xml:space="preserve">Кроме того, систематизирован учет семей, нуждающихся в улучшении жилищных условий, отработан порядок предоставления семьям средств из федерального, краевого и муниципального бюджетов и контроля за их использованием.        </w:t>
      </w:r>
      <w:proofErr w:type="gramEnd"/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результатов реализации муниципальной </w:t>
      </w:r>
      <w:hyperlink r:id="rId9" w:history="1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выявил необходимость ее продления с целью осуществления государственной поддержки молодых семей в улучшении жилищных условий. Актуальность данной проблемы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Большинство молодых семей впервые приобретают собственное жилье, поэтому они не могут использовать его в качестве обеспечения уплаты первоначального взноса при получении ипотечного жилищного кредита или займа. Также они не имеют возможности накопить на эти цели необходимые средства. Однако данная категория </w:t>
      </w:r>
      <w:r>
        <w:rPr>
          <w:sz w:val="28"/>
          <w:szCs w:val="28"/>
        </w:rPr>
        <w:lastRenderedPageBreak/>
        <w:t xml:space="preserve">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 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Ребрихинском районе. Все это позволит сформировать экономически активный слой населения.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540" w:rsidRDefault="00F75540" w:rsidP="00F75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2523">
        <w:rPr>
          <w:sz w:val="28"/>
          <w:szCs w:val="28"/>
        </w:rPr>
        <w:t>2.  Приоритетные направления реализации муниципальной программы, цели и задачи. Описание основных ожидаемых конечных результатов муниципальной программы, сроков и этапов ее реализации</w:t>
      </w:r>
    </w:p>
    <w:p w:rsidR="00F75540" w:rsidRPr="00F82523" w:rsidRDefault="00F75540" w:rsidP="00F75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государственной политики в поддержке молодых семей в улучшении жилищных условий сформированы с учетом целей и задач, представлены в следующих стратегических документах: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07.05.2012 №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07.05.2012 № 597 "О мероприятиях по реализации государственной социальной политики";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29.11.2014 № 2403-р;</w:t>
      </w:r>
      <w:bookmarkStart w:id="1" w:name="sub_20216"/>
    </w:p>
    <w:p w:rsidR="00F75540" w:rsidRDefault="00F12DD7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0" w:history="1">
        <w:r w:rsidR="00F75540" w:rsidRPr="008F78E2">
          <w:rPr>
            <w:rStyle w:val="a4"/>
            <w:b w:val="0"/>
            <w:color w:val="000000"/>
            <w:sz w:val="28"/>
            <w:szCs w:val="28"/>
          </w:rPr>
          <w:t>Государственная программа</w:t>
        </w:r>
      </w:hyperlink>
      <w:r w:rsidR="00F75540" w:rsidRPr="00DC4929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утвержденная </w:t>
      </w:r>
      <w:hyperlink r:id="rId11" w:history="1">
        <w:r w:rsidR="00F75540" w:rsidRPr="008F78E2">
          <w:rPr>
            <w:rStyle w:val="a4"/>
            <w:b w:val="0"/>
            <w:color w:val="000000"/>
            <w:sz w:val="28"/>
            <w:szCs w:val="28"/>
          </w:rPr>
          <w:t>постановлением</w:t>
        </w:r>
      </w:hyperlink>
      <w:r w:rsidR="00F75540" w:rsidRPr="008F78E2">
        <w:rPr>
          <w:b/>
          <w:sz w:val="28"/>
          <w:szCs w:val="28"/>
        </w:rPr>
        <w:t xml:space="preserve"> </w:t>
      </w:r>
      <w:r w:rsidR="00F75540" w:rsidRPr="00DC4929">
        <w:rPr>
          <w:sz w:val="28"/>
          <w:szCs w:val="28"/>
        </w:rPr>
        <w:t>Правительства Российской Федерации от 30.12.2017 № 1710;</w:t>
      </w:r>
      <w:bookmarkEnd w:id="1"/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4929">
        <w:rPr>
          <w:sz w:val="28"/>
          <w:szCs w:val="28"/>
        </w:rPr>
        <w:t>Послание Президента Российской Федерации В.В. Путина Федеральному Собранию Российской Федерации от 20.02.2019.</w:t>
      </w:r>
    </w:p>
    <w:p w:rsidR="00F75540" w:rsidRDefault="00F75540" w:rsidP="00F75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муниципальной политики Ребрихинского района Алтайского края в поддержке молодых семей в улучшении жилищных условий являются: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стимулирование развития жилищного строительства;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совершенствование условий приобретения жилья на рынке, в том числе с помощью ипотечного кредитования;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платежеспособного спроса на жилье молодых семей, молодых ученых и семей, имеющих 3 и более детей, а также ипотечного жилищного кредитования;</w:t>
      </w:r>
    </w:p>
    <w:p w:rsidR="00F75540" w:rsidRDefault="00F75540" w:rsidP="00F755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условий для успешной социализации и эффективной самореализации молодежи с последующей ее интеграцией в процессы социально-экономического, общественно-политического и культурного развития.</w:t>
      </w:r>
    </w:p>
    <w:p w:rsidR="00F75540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2523">
        <w:rPr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программы: государственная поддержка в решении жилищной проблемы молодых семей, признанным, в установленном порядке, нуждающимися в улучшении жилищных условий. </w:t>
      </w:r>
    </w:p>
    <w:p w:rsidR="00F75540" w:rsidRPr="00FD4DD2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F82523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</w:t>
      </w:r>
      <w:r w:rsidRPr="00FD4DD2">
        <w:rPr>
          <w:sz w:val="28"/>
          <w:szCs w:val="28"/>
        </w:rPr>
        <w:t>предоставление молодым семьям – участникам муниципальной программы социальных выплат на приобретение или строительство жилья</w:t>
      </w:r>
      <w:r>
        <w:rPr>
          <w:sz w:val="28"/>
          <w:szCs w:val="28"/>
        </w:rPr>
        <w:t>.</w:t>
      </w:r>
    </w:p>
    <w:p w:rsidR="00F75540" w:rsidRPr="00F82523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2523">
        <w:rPr>
          <w:sz w:val="28"/>
          <w:szCs w:val="28"/>
        </w:rPr>
        <w:t>Основные принципы реализации программы:</w:t>
      </w:r>
    </w:p>
    <w:p w:rsidR="00F75540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участия молодых семей в программе;</w:t>
      </w:r>
    </w:p>
    <w:p w:rsidR="00F75540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молодой семьи нуждающейся в улучшении жилищных условий в соответствии с требованиями программы;</w:t>
      </w:r>
    </w:p>
    <w:p w:rsidR="00F75540" w:rsidRPr="00F82523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возможность молодых семей реализовать свое право на получение поддержки за счет средств, предоставляемых в рамках программы из федерального, краевого и местных бюджетов для улучшения жилищных условий, только один раз.</w:t>
      </w:r>
      <w:proofErr w:type="gramEnd"/>
    </w:p>
    <w:p w:rsidR="00F75540" w:rsidRDefault="00F75540" w:rsidP="00F75540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достижение показателя реализации программы, отражающего количество молодых семей, улучшивших свои жилищные условия.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программы под понятием "количество молодых семей, улучшивших свои жилищные условия" понимается количество молодых семей, включенных в список молодых семей - претендентов на получение социальной выплаты в текущем году и получивших свидетельства участников программы (без учета свидетельств, получаемых молодыми семьями в рамках внесения изменений в список молодых семей - претендентов на получение социальных выплат в соответствующем году).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2026 году обеспечить жильем  6 молодых  семей Ребрихинского района в рамках данной программы.</w:t>
      </w:r>
    </w:p>
    <w:p w:rsidR="00F75540" w:rsidRDefault="00F75540" w:rsidP="00F75540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индикаторах муниципальной программы и их значениях приведены в таблице 1. </w:t>
      </w:r>
    </w:p>
    <w:p w:rsidR="00F75540" w:rsidRDefault="00F75540" w:rsidP="00F75540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2021-2026 годы (этапы не выделяются). </w:t>
      </w:r>
    </w:p>
    <w:p w:rsidR="00F75540" w:rsidRPr="000F06C7" w:rsidRDefault="008F78E2" w:rsidP="000F06C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8E2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меры социальной поддержки молодым семьям в соответствии с Федеральным законом </w:t>
      </w:r>
      <w:r w:rsidRPr="008F78E2">
        <w:rPr>
          <w:rFonts w:ascii="Times New Roman" w:hAnsi="Times New Roman" w:cs="Times New Roman"/>
          <w:bCs/>
          <w:sz w:val="28"/>
          <w:szCs w:val="28"/>
        </w:rPr>
        <w:t xml:space="preserve">от 07.03.2018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</w:t>
      </w:r>
      <w:r w:rsidRPr="008F78E2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8F78E2">
        <w:rPr>
          <w:rFonts w:ascii="Times New Roman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</w:t>
      </w:r>
      <w:r w:rsidRPr="008F78E2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социального обеспечения осуществляется в соответствии с Федеральным законом от 17.07.1999 года № 178-ФЗ «О государственной социальной помощи</w:t>
      </w:r>
      <w:r w:rsidR="000F06C7">
        <w:rPr>
          <w:rFonts w:ascii="Times New Roman" w:hAnsi="Times New Roman" w:cs="Times New Roman"/>
          <w:sz w:val="28"/>
          <w:szCs w:val="28"/>
        </w:rPr>
        <w:t>».</w:t>
      </w:r>
    </w:p>
    <w:p w:rsidR="00F75540" w:rsidRPr="00937C77" w:rsidRDefault="00F75540" w:rsidP="00F75540">
      <w:pPr>
        <w:autoSpaceDE w:val="0"/>
        <w:autoSpaceDN w:val="0"/>
        <w:adjustRightInd w:val="0"/>
        <w:jc w:val="center"/>
        <w:outlineLvl w:val="1"/>
        <w:rPr>
          <w:sz w:val="32"/>
          <w:szCs w:val="28"/>
        </w:rPr>
      </w:pPr>
      <w:r w:rsidRPr="00937C77">
        <w:rPr>
          <w:sz w:val="32"/>
          <w:szCs w:val="28"/>
        </w:rPr>
        <w:t xml:space="preserve">3. </w:t>
      </w:r>
      <w:r w:rsidRPr="00937C77">
        <w:rPr>
          <w:sz w:val="28"/>
          <w:szCs w:val="26"/>
        </w:rPr>
        <w:t>Обобщенная характеристика мероприятий муниципальной программы</w:t>
      </w:r>
    </w:p>
    <w:p w:rsidR="00F75540" w:rsidRDefault="00F75540" w:rsidP="00F75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5540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системы мероприятий программы осуществляется по следующим направлениям:</w:t>
      </w:r>
    </w:p>
    <w:p w:rsidR="00F75540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программы;</w:t>
      </w:r>
    </w:p>
    <w:p w:rsidR="00F75540" w:rsidRDefault="00F75540" w:rsidP="00F75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реализации программы.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программы включают: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данных о молодых семьях - участниках программы;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ежегодного объема средств местного бюджета, направляемых на реализацию мероприятий программы;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с  Управлением молодежной политики и реализации программ общественного развития Алтайского края о реализации программных мероприятий;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  в пределах полномочий;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целей и задач программы, хода ее реализации в  средствах массовой информации;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реализации программы. </w:t>
      </w:r>
    </w:p>
    <w:p w:rsidR="00F75540" w:rsidRDefault="00F12DD7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F75540">
          <w:rPr>
            <w:sz w:val="28"/>
            <w:szCs w:val="28"/>
          </w:rPr>
          <w:t>Перечень</w:t>
        </w:r>
      </w:hyperlink>
      <w:r w:rsidR="00F75540">
        <w:rPr>
          <w:sz w:val="28"/>
          <w:szCs w:val="28"/>
        </w:rPr>
        <w:t xml:space="preserve"> основных мероприятий программы приведен </w:t>
      </w:r>
      <w:r w:rsidR="00F75540" w:rsidRPr="002120FD">
        <w:rPr>
          <w:sz w:val="28"/>
          <w:szCs w:val="28"/>
        </w:rPr>
        <w:t>в таблице 2.</w:t>
      </w:r>
    </w:p>
    <w:p w:rsidR="00F75540" w:rsidRDefault="00F75540" w:rsidP="00F75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5540" w:rsidRPr="002120FD" w:rsidRDefault="00F75540" w:rsidP="00F75540">
      <w:pPr>
        <w:autoSpaceDE w:val="0"/>
        <w:autoSpaceDN w:val="0"/>
        <w:adjustRightInd w:val="0"/>
        <w:jc w:val="center"/>
        <w:outlineLvl w:val="1"/>
        <w:rPr>
          <w:sz w:val="32"/>
          <w:szCs w:val="28"/>
        </w:rPr>
      </w:pPr>
      <w:r w:rsidRPr="002120FD">
        <w:rPr>
          <w:sz w:val="32"/>
          <w:szCs w:val="28"/>
        </w:rPr>
        <w:t xml:space="preserve">4. </w:t>
      </w:r>
      <w:r w:rsidRPr="002120FD">
        <w:rPr>
          <w:sz w:val="28"/>
          <w:szCs w:val="26"/>
        </w:rPr>
        <w:t>Общий объем финансовых ресурсов, необходимых для реализации мероприятий муниципальной программы</w:t>
      </w:r>
    </w:p>
    <w:p w:rsidR="00F75540" w:rsidRDefault="00F75540" w:rsidP="00F75540">
      <w:pPr>
        <w:ind w:firstLine="702"/>
        <w:jc w:val="both"/>
        <w:rPr>
          <w:sz w:val="28"/>
          <w:szCs w:val="26"/>
        </w:rPr>
      </w:pPr>
    </w:p>
    <w:p w:rsidR="00F75540" w:rsidRPr="00A74A05" w:rsidRDefault="00F75540" w:rsidP="00F75540">
      <w:pPr>
        <w:ind w:firstLine="702"/>
        <w:jc w:val="both"/>
        <w:rPr>
          <w:sz w:val="28"/>
          <w:szCs w:val="26"/>
        </w:rPr>
      </w:pPr>
      <w:r w:rsidRPr="00A74A05">
        <w:rPr>
          <w:sz w:val="28"/>
          <w:szCs w:val="26"/>
        </w:rPr>
        <w:t xml:space="preserve">Финансирование </w:t>
      </w:r>
      <w:r>
        <w:rPr>
          <w:sz w:val="28"/>
          <w:szCs w:val="26"/>
        </w:rPr>
        <w:t>муниципальной п</w:t>
      </w:r>
      <w:r w:rsidRPr="00A74A05">
        <w:rPr>
          <w:sz w:val="28"/>
          <w:szCs w:val="26"/>
        </w:rPr>
        <w:t>рограммы осуществляется за счет средств:</w:t>
      </w:r>
    </w:p>
    <w:p w:rsidR="00F75540" w:rsidRPr="00A74A05" w:rsidRDefault="00F75540" w:rsidP="00F75540">
      <w:pPr>
        <w:ind w:firstLine="702"/>
        <w:jc w:val="both"/>
        <w:rPr>
          <w:sz w:val="28"/>
          <w:szCs w:val="26"/>
        </w:rPr>
      </w:pPr>
      <w:r w:rsidRPr="00A74A05">
        <w:rPr>
          <w:sz w:val="28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A74A05">
        <w:rPr>
          <w:sz w:val="28"/>
          <w:szCs w:val="26"/>
        </w:rPr>
        <w:softHyphen/>
        <w:t>ветствующий финансовый год и на плановый период;</w:t>
      </w:r>
    </w:p>
    <w:p w:rsidR="00F75540" w:rsidRPr="00A74A05" w:rsidRDefault="00F75540" w:rsidP="00F75540">
      <w:pPr>
        <w:ind w:firstLine="702"/>
        <w:jc w:val="both"/>
        <w:rPr>
          <w:sz w:val="28"/>
          <w:szCs w:val="26"/>
        </w:rPr>
      </w:pPr>
      <w:r w:rsidRPr="00A74A05">
        <w:rPr>
          <w:sz w:val="28"/>
          <w:szCs w:val="26"/>
        </w:rPr>
        <w:t>краевого бюджета – в соответствии с законом Алтайского края о крае</w:t>
      </w:r>
      <w:r w:rsidRPr="00A74A05">
        <w:rPr>
          <w:sz w:val="28"/>
          <w:szCs w:val="26"/>
        </w:rPr>
        <w:softHyphen/>
        <w:t>вом бюджете на соответствующий финансовый год и на плановый период;</w:t>
      </w:r>
    </w:p>
    <w:p w:rsidR="00F75540" w:rsidRPr="00A74A05" w:rsidRDefault="00F75540" w:rsidP="00F75540">
      <w:pPr>
        <w:ind w:firstLine="702"/>
        <w:jc w:val="both"/>
        <w:rPr>
          <w:sz w:val="28"/>
          <w:szCs w:val="26"/>
        </w:rPr>
      </w:pPr>
      <w:r w:rsidRPr="00A74A05">
        <w:rPr>
          <w:sz w:val="28"/>
          <w:szCs w:val="26"/>
        </w:rPr>
        <w:t>федерального бюджета – в соответствии с Федеральным законом о фе</w:t>
      </w:r>
      <w:r w:rsidRPr="00A74A05">
        <w:rPr>
          <w:sz w:val="28"/>
          <w:szCs w:val="26"/>
        </w:rPr>
        <w:softHyphen/>
        <w:t>деральном бюджете на очередной финансовый год и на плановый период;</w:t>
      </w:r>
    </w:p>
    <w:p w:rsidR="00F75540" w:rsidRDefault="00F75540" w:rsidP="00F75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A05">
        <w:rPr>
          <w:sz w:val="28"/>
          <w:szCs w:val="26"/>
        </w:rPr>
        <w:t xml:space="preserve">внебюджетные источники – </w:t>
      </w:r>
      <w:r>
        <w:rPr>
          <w:sz w:val="28"/>
          <w:szCs w:val="28"/>
        </w:rPr>
        <w:t>средства молодых семей, используемые для частичной оплаты стоимости приобретаемого или строящегося индивидуального жилья.</w:t>
      </w:r>
    </w:p>
    <w:p w:rsidR="00F75540" w:rsidRPr="00A74A05" w:rsidRDefault="00F75540" w:rsidP="00F755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74A05">
        <w:rPr>
          <w:iCs/>
          <w:sz w:val="28"/>
          <w:szCs w:val="26"/>
        </w:rPr>
        <w:t xml:space="preserve">Средства на реализацию </w:t>
      </w:r>
      <w:r>
        <w:rPr>
          <w:iCs/>
          <w:sz w:val="28"/>
          <w:szCs w:val="26"/>
        </w:rPr>
        <w:t>п</w:t>
      </w:r>
      <w:r w:rsidRPr="00A74A05">
        <w:rPr>
          <w:iCs/>
          <w:sz w:val="28"/>
          <w:szCs w:val="26"/>
        </w:rPr>
        <w:t>рограммы из федерального, краевого</w:t>
      </w:r>
      <w:r>
        <w:rPr>
          <w:iCs/>
          <w:sz w:val="28"/>
          <w:szCs w:val="26"/>
        </w:rPr>
        <w:t xml:space="preserve"> и </w:t>
      </w:r>
      <w:r w:rsidRPr="00A74A05">
        <w:rPr>
          <w:iCs/>
          <w:sz w:val="28"/>
          <w:szCs w:val="26"/>
        </w:rPr>
        <w:t xml:space="preserve">районного бюджета выделяются в пределах утвержденных бюджетных ассигнований на соответствующий финансовый год. </w:t>
      </w:r>
      <w:r w:rsidRPr="00A74A05">
        <w:rPr>
          <w:sz w:val="28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F75540" w:rsidRPr="00A74A05" w:rsidRDefault="00F75540" w:rsidP="00F75540">
      <w:pPr>
        <w:ind w:firstLine="702"/>
        <w:jc w:val="both"/>
        <w:rPr>
          <w:sz w:val="28"/>
          <w:szCs w:val="26"/>
        </w:rPr>
      </w:pPr>
      <w:r w:rsidRPr="00A74A05">
        <w:rPr>
          <w:sz w:val="28"/>
          <w:szCs w:val="26"/>
        </w:rPr>
        <w:lastRenderedPageBreak/>
        <w:t xml:space="preserve">Сводные финансовые затраты по направлениям программы приведены </w:t>
      </w:r>
      <w:r w:rsidRPr="002120FD">
        <w:rPr>
          <w:sz w:val="28"/>
          <w:szCs w:val="26"/>
        </w:rPr>
        <w:t>в таблице 3.</w:t>
      </w:r>
    </w:p>
    <w:p w:rsidR="00F75540" w:rsidRPr="007774C7" w:rsidRDefault="00F75540" w:rsidP="00F755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 xml:space="preserve"> </w:t>
      </w:r>
    </w:p>
    <w:p w:rsidR="00F75540" w:rsidRPr="007774C7" w:rsidRDefault="00F75540" w:rsidP="00F75540">
      <w:pPr>
        <w:widowControl w:val="0"/>
        <w:jc w:val="center"/>
        <w:rPr>
          <w:sz w:val="28"/>
          <w:szCs w:val="28"/>
        </w:rPr>
      </w:pPr>
      <w:r w:rsidRPr="007774C7">
        <w:rPr>
          <w:sz w:val="28"/>
          <w:szCs w:val="28"/>
        </w:rPr>
        <w:t>5.</w:t>
      </w:r>
      <w:r w:rsidRPr="007774C7">
        <w:rPr>
          <w:color w:val="FF0000"/>
          <w:sz w:val="28"/>
          <w:szCs w:val="28"/>
        </w:rPr>
        <w:t xml:space="preserve"> </w:t>
      </w:r>
      <w:r w:rsidRPr="007774C7">
        <w:rPr>
          <w:sz w:val="28"/>
          <w:szCs w:val="28"/>
        </w:rPr>
        <w:t>Анализ рисков реализации муниципальной программы и описание управления рисками реализации муниципальной программы</w:t>
      </w:r>
    </w:p>
    <w:p w:rsidR="00F75540" w:rsidRPr="007774C7" w:rsidRDefault="00F75540" w:rsidP="00F75540">
      <w:pPr>
        <w:widowControl w:val="0"/>
        <w:jc w:val="center"/>
        <w:rPr>
          <w:color w:val="FF0000"/>
          <w:sz w:val="28"/>
          <w:szCs w:val="28"/>
        </w:rPr>
      </w:pP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proofErr w:type="gramStart"/>
      <w:r w:rsidRPr="007774C7">
        <w:rPr>
          <w:sz w:val="28"/>
          <w:szCs w:val="28"/>
        </w:rPr>
        <w:t>Важное значение</w:t>
      </w:r>
      <w:proofErr w:type="gramEnd"/>
      <w:r w:rsidRPr="007774C7">
        <w:rPr>
          <w:sz w:val="28"/>
          <w:szCs w:val="28"/>
        </w:rPr>
        <w:t>, для успешной реализации программы, имеют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1. Риски, связанные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увеличению планируемых сроков или изменению условий реализации мероприятий программы. Для минимизации воздействия данных рисков планируется проводить мониторинг планируемых изменений в федеральном и краевом законодательстве в соответствующей сфере и смежных областях.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 xml:space="preserve">2. Риски, связанные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 w:rsidRPr="007774C7">
        <w:rPr>
          <w:sz w:val="28"/>
          <w:szCs w:val="28"/>
        </w:rPr>
        <w:t>секвестированием</w:t>
      </w:r>
      <w:proofErr w:type="spellEnd"/>
      <w:r w:rsidRPr="007774C7">
        <w:rPr>
          <w:sz w:val="28"/>
          <w:szCs w:val="28"/>
        </w:rPr>
        <w:t xml:space="preserve"> бюджетных расходов, что может повлечь недофинансирование, сокращение или прекращение программных мероприятий. Способами ограничения финансовых рисков являются: ежегодное уточнение объемов финансовых средств, предусмотренных на реализацию мероприятий программы, в зависимости от достигнутых результатов, определение    приоритетов    для    первоочередного    финансирования расходов, привлечение внебюджетного финансирования.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3.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 xml:space="preserve">4. Административные  риски   связаны   с   неэффективным  управлением реализацией муниципальной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</w:t>
      </w:r>
      <w:proofErr w:type="spellStart"/>
      <w:r w:rsidRPr="007774C7">
        <w:rPr>
          <w:sz w:val="28"/>
          <w:szCs w:val="28"/>
        </w:rPr>
        <w:t>недостижение</w:t>
      </w:r>
      <w:proofErr w:type="spellEnd"/>
      <w:r w:rsidRPr="007774C7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F75540" w:rsidRPr="007774C7" w:rsidRDefault="00F75540" w:rsidP="00F75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F75540" w:rsidRPr="007774C7" w:rsidRDefault="00F75540" w:rsidP="00F755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4C7">
        <w:rPr>
          <w:rFonts w:ascii="Times New Roman" w:hAnsi="Times New Roman"/>
          <w:sz w:val="28"/>
          <w:szCs w:val="28"/>
        </w:rPr>
        <w:lastRenderedPageBreak/>
        <w:t xml:space="preserve">формирование     эффективной      системы     управления    реализации муниципальной программы; </w:t>
      </w:r>
    </w:p>
    <w:p w:rsidR="00F75540" w:rsidRPr="007774C7" w:rsidRDefault="00F75540" w:rsidP="00F755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4C7">
        <w:rPr>
          <w:rFonts w:ascii="Times New Roman" w:hAnsi="Times New Roman"/>
          <w:sz w:val="28"/>
          <w:szCs w:val="28"/>
        </w:rPr>
        <w:t>регулярное формирование отчетов о ходе реализации муниципальной программы;</w:t>
      </w:r>
    </w:p>
    <w:p w:rsidR="00F75540" w:rsidRPr="007774C7" w:rsidRDefault="00F75540" w:rsidP="00F755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4C7">
        <w:rPr>
          <w:rFonts w:ascii="Times New Roman" w:hAnsi="Times New Roman"/>
          <w:sz w:val="28"/>
          <w:szCs w:val="28"/>
        </w:rPr>
        <w:t xml:space="preserve">повышение  </w:t>
      </w:r>
      <w:proofErr w:type="gramStart"/>
      <w:r w:rsidRPr="007774C7">
        <w:rPr>
          <w:rFonts w:ascii="Times New Roman" w:hAnsi="Times New Roman"/>
          <w:sz w:val="28"/>
          <w:szCs w:val="28"/>
        </w:rPr>
        <w:t>эффективности   взаимодействия   участников   реализации муниципальной программы</w:t>
      </w:r>
      <w:proofErr w:type="gramEnd"/>
      <w:r w:rsidRPr="007774C7">
        <w:rPr>
          <w:rFonts w:ascii="Times New Roman" w:hAnsi="Times New Roman"/>
          <w:sz w:val="28"/>
          <w:szCs w:val="28"/>
        </w:rPr>
        <w:t>;</w:t>
      </w:r>
    </w:p>
    <w:p w:rsidR="00F75540" w:rsidRPr="007774C7" w:rsidRDefault="00F75540" w:rsidP="00F755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4C7">
        <w:rPr>
          <w:rFonts w:ascii="Times New Roman" w:hAnsi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F75540" w:rsidRPr="007774C7" w:rsidRDefault="00F75540" w:rsidP="00F755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4C7">
        <w:rPr>
          <w:rFonts w:ascii="Times New Roman" w:hAnsi="Times New Roman"/>
          <w:sz w:val="28"/>
          <w:szCs w:val="28"/>
        </w:rPr>
        <w:t>создание системы мониторинга реализации муниципальной программы;</w:t>
      </w:r>
    </w:p>
    <w:p w:rsidR="00F75540" w:rsidRPr="007774C7" w:rsidRDefault="00F75540" w:rsidP="00F755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4C7">
        <w:rPr>
          <w:rFonts w:ascii="Times New Roman" w:hAnsi="Times New Roman"/>
          <w:sz w:val="28"/>
          <w:szCs w:val="28"/>
        </w:rPr>
        <w:t>своевременная корректировка мероприятий муниципальной программы.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Управление рисками будет осуществляться в соответствии с законодательством.</w:t>
      </w:r>
    </w:p>
    <w:p w:rsidR="00F75540" w:rsidRPr="007774C7" w:rsidRDefault="00F75540" w:rsidP="00F755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5540" w:rsidRPr="007774C7" w:rsidRDefault="00F75540" w:rsidP="00F75540">
      <w:pPr>
        <w:widowControl w:val="0"/>
        <w:jc w:val="center"/>
        <w:rPr>
          <w:color w:val="FF0000"/>
          <w:sz w:val="28"/>
          <w:szCs w:val="28"/>
        </w:rPr>
      </w:pPr>
      <w:r w:rsidRPr="007774C7">
        <w:rPr>
          <w:sz w:val="28"/>
          <w:szCs w:val="28"/>
        </w:rPr>
        <w:t xml:space="preserve">6. Методика оценки эффективности реализации муниципальной программы </w:t>
      </w:r>
    </w:p>
    <w:p w:rsidR="00F75540" w:rsidRPr="007774C7" w:rsidRDefault="00F75540" w:rsidP="00F75540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5540" w:rsidRPr="007774C7" w:rsidRDefault="00F75540" w:rsidP="00F75540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4C7">
        <w:rPr>
          <w:rFonts w:ascii="Times New Roman" w:hAnsi="Times New Roman"/>
          <w:sz w:val="28"/>
          <w:szCs w:val="28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 xml:space="preserve">степени достижения целей и решения задач муниципальной программы; 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F75540" w:rsidRPr="007774C7" w:rsidRDefault="00F75540" w:rsidP="00F75540">
      <w:pPr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степени реализации мероприятий муниципальной программы.</w:t>
      </w:r>
    </w:p>
    <w:p w:rsidR="00F75540" w:rsidRPr="007774C7" w:rsidRDefault="00F75540" w:rsidP="00F755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75540" w:rsidRPr="007774C7" w:rsidRDefault="00F75540" w:rsidP="00F755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75540" w:rsidRPr="007774C7" w:rsidRDefault="00F75540" w:rsidP="00F75540">
      <w:pPr>
        <w:jc w:val="center"/>
        <w:rPr>
          <w:sz w:val="28"/>
          <w:szCs w:val="28"/>
          <w:lang w:val="en-US"/>
        </w:rPr>
      </w:pPr>
      <w:r w:rsidRPr="007774C7">
        <w:rPr>
          <w:sz w:val="28"/>
          <w:szCs w:val="28"/>
        </w:rPr>
        <w:t xml:space="preserve">                </w:t>
      </w:r>
      <w:proofErr w:type="gramStart"/>
      <w:r w:rsidRPr="007774C7">
        <w:rPr>
          <w:sz w:val="28"/>
          <w:szCs w:val="28"/>
          <w:lang w:val="en-US"/>
        </w:rPr>
        <w:t>m</w:t>
      </w:r>
      <w:proofErr w:type="gramEnd"/>
    </w:p>
    <w:p w:rsidR="00F75540" w:rsidRPr="007774C7" w:rsidRDefault="00F75540" w:rsidP="00F75540">
      <w:pPr>
        <w:jc w:val="center"/>
        <w:rPr>
          <w:sz w:val="28"/>
          <w:szCs w:val="28"/>
          <w:lang w:val="en-US"/>
        </w:rPr>
      </w:pPr>
      <w:proofErr w:type="spellStart"/>
      <w:r w:rsidRPr="007774C7">
        <w:rPr>
          <w:sz w:val="28"/>
          <w:szCs w:val="28"/>
          <w:lang w:val="en-US"/>
        </w:rPr>
        <w:t>Cel</w:t>
      </w:r>
      <w:proofErr w:type="spellEnd"/>
      <w:r w:rsidRPr="007774C7">
        <w:rPr>
          <w:sz w:val="28"/>
          <w:szCs w:val="28"/>
          <w:lang w:val="en-US"/>
        </w:rPr>
        <w:t xml:space="preserve"> = (1/m) </w:t>
      </w:r>
      <w:proofErr w:type="gramStart"/>
      <w:r w:rsidRPr="007774C7">
        <w:rPr>
          <w:sz w:val="28"/>
          <w:szCs w:val="28"/>
          <w:lang w:val="en-US"/>
        </w:rPr>
        <w:t xml:space="preserve">*  </w:t>
      </w:r>
      <w:proofErr w:type="gramEnd"/>
      <w:r w:rsidRPr="007774C7">
        <w:rPr>
          <w:sz w:val="28"/>
          <w:szCs w:val="28"/>
        </w:rPr>
        <w:sym w:font="Symbol" w:char="F0E5"/>
      </w:r>
      <w:r w:rsidRPr="007774C7">
        <w:rPr>
          <w:sz w:val="28"/>
          <w:szCs w:val="28"/>
          <w:lang w:val="en-US"/>
        </w:rPr>
        <w:t>(S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  <w:lang w:val="en-US"/>
        </w:rPr>
        <w:t>),</w:t>
      </w:r>
    </w:p>
    <w:p w:rsidR="00F75540" w:rsidRPr="007774C7" w:rsidRDefault="00F75540" w:rsidP="00F75540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7774C7">
        <w:rPr>
          <w:sz w:val="28"/>
          <w:szCs w:val="28"/>
          <w:lang w:val="en-US"/>
        </w:rPr>
        <w:t>i</w:t>
      </w:r>
      <w:proofErr w:type="spellEnd"/>
      <w:r w:rsidRPr="007774C7">
        <w:rPr>
          <w:sz w:val="28"/>
          <w:szCs w:val="28"/>
          <w:lang w:val="en-US"/>
        </w:rPr>
        <w:t>=1</w:t>
      </w:r>
    </w:p>
    <w:p w:rsidR="00F75540" w:rsidRPr="007774C7" w:rsidRDefault="00F75540" w:rsidP="00F75540">
      <w:pPr>
        <w:jc w:val="both"/>
        <w:rPr>
          <w:sz w:val="28"/>
          <w:szCs w:val="28"/>
          <w:lang w:val="en-US"/>
        </w:rPr>
      </w:pPr>
      <w:r w:rsidRPr="007774C7">
        <w:rPr>
          <w:sz w:val="28"/>
          <w:szCs w:val="28"/>
        </w:rPr>
        <w:t>где</w:t>
      </w:r>
      <w:r w:rsidRPr="007774C7">
        <w:rPr>
          <w:sz w:val="28"/>
          <w:szCs w:val="28"/>
          <w:lang w:val="en-US"/>
        </w:rPr>
        <w:t>: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proofErr w:type="spellStart"/>
      <w:r w:rsidRPr="007774C7">
        <w:rPr>
          <w:sz w:val="28"/>
          <w:szCs w:val="28"/>
          <w:lang w:val="en-US"/>
        </w:rPr>
        <w:t>Cel</w:t>
      </w:r>
      <w:proofErr w:type="spellEnd"/>
      <w:r w:rsidRPr="007774C7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S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  <w:vertAlign w:val="subscript"/>
        </w:rPr>
        <w:t xml:space="preserve"> </w:t>
      </w:r>
      <w:r w:rsidRPr="007774C7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m</w:t>
      </w:r>
      <w:r w:rsidRPr="007774C7">
        <w:rPr>
          <w:sz w:val="28"/>
          <w:szCs w:val="28"/>
        </w:rPr>
        <w:t xml:space="preserve"> – </w:t>
      </w:r>
      <w:proofErr w:type="gramStart"/>
      <w:r w:rsidRPr="007774C7">
        <w:rPr>
          <w:sz w:val="28"/>
          <w:szCs w:val="28"/>
        </w:rPr>
        <w:t>число</w:t>
      </w:r>
      <w:proofErr w:type="gramEnd"/>
      <w:r w:rsidRPr="007774C7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sym w:font="Symbol" w:char="F0E5"/>
      </w:r>
      <w:r w:rsidRPr="007774C7">
        <w:rPr>
          <w:sz w:val="28"/>
          <w:szCs w:val="28"/>
        </w:rPr>
        <w:t xml:space="preserve"> – сумма значений.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lastRenderedPageBreak/>
        <w:t>Оценка значения i-го индикатора (показателя) муниципальной программы производится по формуле: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</w:p>
    <w:p w:rsidR="00F75540" w:rsidRPr="007774C7" w:rsidRDefault="00F75540" w:rsidP="00F75540">
      <w:pPr>
        <w:ind w:firstLine="540"/>
        <w:jc w:val="center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S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</w:rPr>
        <w:t xml:space="preserve"> = (</w:t>
      </w:r>
      <w:r w:rsidRPr="007774C7">
        <w:rPr>
          <w:sz w:val="28"/>
          <w:szCs w:val="28"/>
          <w:lang w:val="en-US"/>
        </w:rPr>
        <w:t>F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  <w:vertAlign w:val="subscript"/>
        </w:rPr>
        <w:t xml:space="preserve"> </w:t>
      </w:r>
      <w:r w:rsidRPr="007774C7">
        <w:rPr>
          <w:sz w:val="28"/>
          <w:szCs w:val="28"/>
        </w:rPr>
        <w:t>/</w:t>
      </w:r>
      <w:r w:rsidRPr="007774C7">
        <w:rPr>
          <w:sz w:val="28"/>
          <w:szCs w:val="28"/>
          <w:lang w:val="en-US"/>
        </w:rPr>
        <w:t>P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</w:rPr>
        <w:t>)*100%,</w:t>
      </w:r>
    </w:p>
    <w:p w:rsidR="00F75540" w:rsidRPr="007774C7" w:rsidRDefault="00F75540" w:rsidP="00F75540">
      <w:pPr>
        <w:jc w:val="both"/>
        <w:rPr>
          <w:sz w:val="28"/>
          <w:szCs w:val="28"/>
        </w:rPr>
      </w:pPr>
      <w:r w:rsidRPr="007774C7">
        <w:rPr>
          <w:sz w:val="28"/>
          <w:szCs w:val="28"/>
        </w:rPr>
        <w:t>где: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F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</w:rPr>
        <w:t xml:space="preserve"> – фактическое значение i-</w:t>
      </w:r>
      <w:proofErr w:type="spellStart"/>
      <w:r w:rsidRPr="007774C7">
        <w:rPr>
          <w:sz w:val="28"/>
          <w:szCs w:val="28"/>
        </w:rPr>
        <w:t>го</w:t>
      </w:r>
      <w:proofErr w:type="spellEnd"/>
      <w:r w:rsidRPr="007774C7">
        <w:rPr>
          <w:sz w:val="28"/>
          <w:szCs w:val="28"/>
        </w:rPr>
        <w:t xml:space="preserve"> индикатора (показателя) муниципальной программы;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P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</w:rPr>
        <w:t xml:space="preserve"> – плановое значение i-</w:t>
      </w:r>
      <w:proofErr w:type="spellStart"/>
      <w:r w:rsidRPr="007774C7">
        <w:rPr>
          <w:sz w:val="28"/>
          <w:szCs w:val="28"/>
        </w:rPr>
        <w:t>го</w:t>
      </w:r>
      <w:proofErr w:type="spellEnd"/>
      <w:r w:rsidRPr="007774C7">
        <w:rPr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7774C7">
        <w:rPr>
          <w:sz w:val="28"/>
          <w:szCs w:val="28"/>
          <w:lang w:val="en-US"/>
        </w:rPr>
        <w:t>S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</w:rPr>
        <w:t xml:space="preserve"> = (</w:t>
      </w:r>
      <w:r w:rsidRPr="007774C7">
        <w:rPr>
          <w:sz w:val="28"/>
          <w:szCs w:val="28"/>
          <w:lang w:val="en-US"/>
        </w:rPr>
        <w:t>P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</w:rPr>
        <w:t xml:space="preserve"> / </w:t>
      </w:r>
      <w:r w:rsidRPr="007774C7">
        <w:rPr>
          <w:sz w:val="28"/>
          <w:szCs w:val="28"/>
          <w:lang w:val="en-US"/>
        </w:rPr>
        <w:t>F</w:t>
      </w:r>
      <w:r w:rsidRPr="007774C7">
        <w:rPr>
          <w:sz w:val="28"/>
          <w:szCs w:val="28"/>
          <w:vertAlign w:val="subscript"/>
          <w:lang w:val="en-US"/>
        </w:rPr>
        <w:t>i</w:t>
      </w:r>
      <w:r w:rsidRPr="007774C7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7774C7">
        <w:rPr>
          <w:sz w:val="28"/>
          <w:szCs w:val="28"/>
        </w:rPr>
        <w:t>равным</w:t>
      </w:r>
      <w:proofErr w:type="gramEnd"/>
      <w:r w:rsidRPr="007774C7">
        <w:rPr>
          <w:sz w:val="28"/>
          <w:szCs w:val="28"/>
        </w:rPr>
        <w:t xml:space="preserve"> 100%.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F75540" w:rsidRPr="007774C7" w:rsidRDefault="00F75540" w:rsidP="00F75540">
      <w:pPr>
        <w:ind w:firstLine="540"/>
        <w:jc w:val="center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Fin</w:t>
      </w:r>
      <w:r w:rsidRPr="007774C7">
        <w:rPr>
          <w:sz w:val="28"/>
          <w:szCs w:val="28"/>
        </w:rPr>
        <w:t xml:space="preserve"> = </w:t>
      </w:r>
      <w:r w:rsidRPr="007774C7">
        <w:rPr>
          <w:sz w:val="28"/>
          <w:szCs w:val="28"/>
          <w:lang w:val="en-US"/>
        </w:rPr>
        <w:t>K</w:t>
      </w:r>
      <w:r w:rsidRPr="007774C7">
        <w:rPr>
          <w:sz w:val="28"/>
          <w:szCs w:val="28"/>
          <w:vertAlign w:val="subscript"/>
        </w:rPr>
        <w:t xml:space="preserve"> </w:t>
      </w:r>
      <w:r w:rsidRPr="007774C7">
        <w:rPr>
          <w:sz w:val="28"/>
          <w:szCs w:val="28"/>
        </w:rPr>
        <w:t xml:space="preserve">/ </w:t>
      </w:r>
      <w:r w:rsidRPr="007774C7">
        <w:rPr>
          <w:sz w:val="28"/>
          <w:szCs w:val="28"/>
          <w:lang w:val="en-US"/>
        </w:rPr>
        <w:t>L</w:t>
      </w:r>
      <w:r w:rsidRPr="007774C7">
        <w:rPr>
          <w:sz w:val="28"/>
          <w:szCs w:val="28"/>
        </w:rPr>
        <w:t>*100%,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где: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Fin</w:t>
      </w:r>
      <w:r w:rsidRPr="007774C7"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K</w:t>
      </w:r>
      <w:r w:rsidRPr="007774C7">
        <w:rPr>
          <w:sz w:val="28"/>
          <w:szCs w:val="28"/>
        </w:rPr>
        <w:t xml:space="preserve"> – </w:t>
      </w:r>
      <w:proofErr w:type="gramStart"/>
      <w:r w:rsidRPr="007774C7">
        <w:rPr>
          <w:sz w:val="28"/>
          <w:szCs w:val="28"/>
        </w:rPr>
        <w:t>фактический</w:t>
      </w:r>
      <w:proofErr w:type="gramEnd"/>
      <w:r w:rsidRPr="007774C7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L</w:t>
      </w:r>
      <w:r w:rsidRPr="007774C7">
        <w:rPr>
          <w:sz w:val="28"/>
          <w:szCs w:val="28"/>
        </w:rPr>
        <w:t xml:space="preserve"> – </w:t>
      </w:r>
      <w:proofErr w:type="gramStart"/>
      <w:r w:rsidRPr="007774C7">
        <w:rPr>
          <w:sz w:val="28"/>
          <w:szCs w:val="28"/>
        </w:rPr>
        <w:t>плановый</w:t>
      </w:r>
      <w:proofErr w:type="gramEnd"/>
      <w:r w:rsidRPr="007774C7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F75540" w:rsidRPr="007774C7" w:rsidRDefault="00F75540" w:rsidP="00F75540">
      <w:pPr>
        <w:jc w:val="center"/>
        <w:rPr>
          <w:sz w:val="28"/>
          <w:szCs w:val="28"/>
          <w:lang w:val="en-US"/>
        </w:rPr>
      </w:pPr>
      <w:r w:rsidRPr="007774C7">
        <w:rPr>
          <w:sz w:val="28"/>
          <w:szCs w:val="28"/>
        </w:rPr>
        <w:t xml:space="preserve">        </w:t>
      </w:r>
      <w:proofErr w:type="gramStart"/>
      <w:r w:rsidRPr="007774C7">
        <w:rPr>
          <w:sz w:val="28"/>
          <w:szCs w:val="28"/>
          <w:lang w:val="en-US"/>
        </w:rPr>
        <w:t>n</w:t>
      </w:r>
      <w:proofErr w:type="gramEnd"/>
    </w:p>
    <w:p w:rsidR="00F75540" w:rsidRPr="007774C7" w:rsidRDefault="00F75540" w:rsidP="00F75540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7774C7">
        <w:rPr>
          <w:sz w:val="28"/>
          <w:szCs w:val="28"/>
          <w:lang w:val="en-US"/>
        </w:rPr>
        <w:t>Mer</w:t>
      </w:r>
      <w:proofErr w:type="spellEnd"/>
      <w:r w:rsidRPr="007774C7">
        <w:rPr>
          <w:sz w:val="28"/>
          <w:szCs w:val="28"/>
          <w:lang w:val="en-US"/>
        </w:rPr>
        <w:t xml:space="preserve">  =</w:t>
      </w:r>
      <w:proofErr w:type="gramEnd"/>
      <w:r w:rsidRPr="007774C7">
        <w:rPr>
          <w:sz w:val="28"/>
          <w:szCs w:val="28"/>
          <w:lang w:val="en-US"/>
        </w:rPr>
        <w:t xml:space="preserve">  (1/n) *  </w:t>
      </w:r>
      <w:r w:rsidRPr="007774C7">
        <w:rPr>
          <w:sz w:val="28"/>
          <w:szCs w:val="28"/>
        </w:rPr>
        <w:sym w:font="Symbol" w:char="F0E5"/>
      </w:r>
      <w:r w:rsidRPr="007774C7">
        <w:rPr>
          <w:sz w:val="28"/>
          <w:szCs w:val="28"/>
          <w:lang w:val="en-US"/>
        </w:rPr>
        <w:t>(</w:t>
      </w:r>
      <w:proofErr w:type="spellStart"/>
      <w:r w:rsidRPr="007774C7">
        <w:rPr>
          <w:sz w:val="28"/>
          <w:szCs w:val="28"/>
          <w:lang w:val="en-US"/>
        </w:rPr>
        <w:t>R</w:t>
      </w:r>
      <w:r w:rsidRPr="007774C7">
        <w:rPr>
          <w:sz w:val="28"/>
          <w:szCs w:val="28"/>
          <w:vertAlign w:val="subscript"/>
          <w:lang w:val="en-US"/>
        </w:rPr>
        <w:t>j</w:t>
      </w:r>
      <w:proofErr w:type="spellEnd"/>
      <w:r w:rsidRPr="007774C7">
        <w:rPr>
          <w:sz w:val="28"/>
          <w:szCs w:val="28"/>
          <w:lang w:val="en-US"/>
        </w:rPr>
        <w:t>*100%),</w:t>
      </w:r>
    </w:p>
    <w:p w:rsidR="00F75540" w:rsidRPr="007774C7" w:rsidRDefault="00F75540" w:rsidP="00F75540">
      <w:pPr>
        <w:jc w:val="center"/>
        <w:rPr>
          <w:sz w:val="28"/>
          <w:szCs w:val="28"/>
          <w:lang w:val="en-US"/>
        </w:rPr>
      </w:pPr>
      <w:r w:rsidRPr="007774C7">
        <w:rPr>
          <w:sz w:val="28"/>
          <w:szCs w:val="28"/>
          <w:lang w:val="en-US"/>
        </w:rPr>
        <w:t xml:space="preserve">              j=1</w:t>
      </w:r>
    </w:p>
    <w:p w:rsidR="00F75540" w:rsidRPr="007774C7" w:rsidRDefault="00F75540" w:rsidP="00F75540">
      <w:pPr>
        <w:jc w:val="both"/>
        <w:rPr>
          <w:sz w:val="28"/>
          <w:szCs w:val="28"/>
          <w:lang w:val="en-US"/>
        </w:rPr>
      </w:pPr>
      <w:r w:rsidRPr="007774C7">
        <w:rPr>
          <w:sz w:val="28"/>
          <w:szCs w:val="28"/>
        </w:rPr>
        <w:t>где</w:t>
      </w:r>
      <w:r w:rsidRPr="007774C7">
        <w:rPr>
          <w:sz w:val="28"/>
          <w:szCs w:val="28"/>
          <w:lang w:val="en-US"/>
        </w:rPr>
        <w:t>: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proofErr w:type="spellStart"/>
      <w:r w:rsidRPr="007774C7">
        <w:rPr>
          <w:sz w:val="28"/>
          <w:szCs w:val="28"/>
          <w:lang w:val="en-US"/>
        </w:rPr>
        <w:t>Mer</w:t>
      </w:r>
      <w:proofErr w:type="spellEnd"/>
      <w:r w:rsidRPr="007774C7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proofErr w:type="spellStart"/>
      <w:r w:rsidRPr="007774C7">
        <w:rPr>
          <w:sz w:val="28"/>
          <w:szCs w:val="28"/>
          <w:lang w:val="en-US"/>
        </w:rPr>
        <w:t>R</w:t>
      </w:r>
      <w:r w:rsidRPr="007774C7">
        <w:rPr>
          <w:sz w:val="28"/>
          <w:szCs w:val="28"/>
          <w:vertAlign w:val="subscript"/>
          <w:lang w:val="en-US"/>
        </w:rPr>
        <w:t>j</w:t>
      </w:r>
      <w:proofErr w:type="spellEnd"/>
      <w:r w:rsidRPr="007774C7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7774C7">
        <w:rPr>
          <w:sz w:val="28"/>
          <w:szCs w:val="28"/>
          <w:lang w:val="en-US"/>
        </w:rPr>
        <w:t>j</w:t>
      </w:r>
      <w:r w:rsidRPr="007774C7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7774C7">
        <w:rPr>
          <w:sz w:val="28"/>
          <w:szCs w:val="28"/>
        </w:rPr>
        <w:t>недостижения</w:t>
      </w:r>
      <w:proofErr w:type="spellEnd"/>
      <w:r w:rsidRPr="007774C7">
        <w:rPr>
          <w:sz w:val="28"/>
          <w:szCs w:val="28"/>
        </w:rPr>
        <w:t xml:space="preserve"> непосредственного результата - как «0»;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n</w:t>
      </w:r>
      <w:r w:rsidRPr="007774C7">
        <w:rPr>
          <w:sz w:val="28"/>
          <w:szCs w:val="28"/>
        </w:rPr>
        <w:t xml:space="preserve"> – </w:t>
      </w:r>
      <w:proofErr w:type="gramStart"/>
      <w:r w:rsidRPr="007774C7">
        <w:rPr>
          <w:sz w:val="28"/>
          <w:szCs w:val="28"/>
        </w:rPr>
        <w:t>количество</w:t>
      </w:r>
      <w:proofErr w:type="gramEnd"/>
      <w:r w:rsidRPr="007774C7">
        <w:rPr>
          <w:sz w:val="28"/>
          <w:szCs w:val="28"/>
        </w:rPr>
        <w:t xml:space="preserve"> мероприятий, включенных в муниципальную программу;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sym w:font="Symbol" w:char="F0E5"/>
      </w:r>
      <w:r w:rsidRPr="007774C7">
        <w:rPr>
          <w:sz w:val="28"/>
          <w:szCs w:val="28"/>
        </w:rPr>
        <w:t xml:space="preserve"> – сумма значений.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lastRenderedPageBreak/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F75540" w:rsidRPr="007774C7" w:rsidRDefault="00F75540" w:rsidP="00F75540">
      <w:pPr>
        <w:ind w:firstLine="540"/>
        <w:jc w:val="center"/>
        <w:rPr>
          <w:sz w:val="28"/>
          <w:szCs w:val="28"/>
        </w:rPr>
      </w:pPr>
      <w:r w:rsidRPr="007774C7">
        <w:rPr>
          <w:sz w:val="28"/>
          <w:szCs w:val="28"/>
          <w:lang w:val="en-US"/>
        </w:rPr>
        <w:t>O</w:t>
      </w:r>
      <w:r w:rsidRPr="007774C7">
        <w:rPr>
          <w:sz w:val="28"/>
          <w:szCs w:val="28"/>
        </w:rPr>
        <w:t xml:space="preserve"> = (</w:t>
      </w:r>
      <w:proofErr w:type="spellStart"/>
      <w:r w:rsidRPr="007774C7">
        <w:rPr>
          <w:sz w:val="28"/>
          <w:szCs w:val="28"/>
          <w:lang w:val="en-US"/>
        </w:rPr>
        <w:t>Cel</w:t>
      </w:r>
      <w:proofErr w:type="spellEnd"/>
      <w:r w:rsidRPr="007774C7">
        <w:rPr>
          <w:sz w:val="28"/>
          <w:szCs w:val="28"/>
        </w:rPr>
        <w:t xml:space="preserve"> + </w:t>
      </w:r>
      <w:r w:rsidRPr="007774C7">
        <w:rPr>
          <w:sz w:val="28"/>
          <w:szCs w:val="28"/>
          <w:lang w:val="en-US"/>
        </w:rPr>
        <w:t>Fin</w:t>
      </w:r>
      <w:r w:rsidRPr="007774C7">
        <w:rPr>
          <w:sz w:val="28"/>
          <w:szCs w:val="28"/>
        </w:rPr>
        <w:t xml:space="preserve"> + </w:t>
      </w:r>
      <w:proofErr w:type="spellStart"/>
      <w:r w:rsidRPr="007774C7">
        <w:rPr>
          <w:sz w:val="28"/>
          <w:szCs w:val="28"/>
          <w:lang w:val="en-US"/>
        </w:rPr>
        <w:t>Mer</w:t>
      </w:r>
      <w:proofErr w:type="spellEnd"/>
      <w:r w:rsidRPr="007774C7">
        <w:rPr>
          <w:sz w:val="28"/>
          <w:szCs w:val="28"/>
        </w:rPr>
        <w:t>)/3,</w:t>
      </w:r>
    </w:p>
    <w:p w:rsidR="00F75540" w:rsidRPr="007774C7" w:rsidRDefault="00F75540" w:rsidP="00F75540">
      <w:pPr>
        <w:jc w:val="both"/>
        <w:rPr>
          <w:sz w:val="28"/>
          <w:szCs w:val="28"/>
        </w:rPr>
      </w:pPr>
      <w:r w:rsidRPr="007774C7">
        <w:rPr>
          <w:sz w:val="28"/>
          <w:szCs w:val="28"/>
        </w:rPr>
        <w:t xml:space="preserve">где: </w:t>
      </w:r>
      <w:r w:rsidRPr="007774C7">
        <w:rPr>
          <w:sz w:val="28"/>
          <w:szCs w:val="28"/>
          <w:lang w:val="en-US"/>
        </w:rPr>
        <w:t>O</w:t>
      </w:r>
      <w:r w:rsidRPr="007774C7">
        <w:rPr>
          <w:sz w:val="28"/>
          <w:szCs w:val="28"/>
        </w:rPr>
        <w:t xml:space="preserve"> – комплексная оценка.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2. Реализация муниципальной программы может характеризоваться: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высоким уровнем эффективности;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средним уровнем эффективности;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низким уровнем эффективности.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F75540" w:rsidRPr="007774C7" w:rsidRDefault="00F75540" w:rsidP="00F75540">
      <w:pPr>
        <w:ind w:firstLine="540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F75540" w:rsidRPr="007774C7" w:rsidRDefault="00F75540" w:rsidP="00F75540">
      <w:pPr>
        <w:widowControl w:val="0"/>
        <w:ind w:firstLine="709"/>
        <w:jc w:val="both"/>
        <w:rPr>
          <w:sz w:val="28"/>
          <w:szCs w:val="28"/>
        </w:rPr>
      </w:pPr>
      <w:r w:rsidRPr="007774C7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FD4BC4" w:rsidRDefault="00FD4BC4"/>
    <w:p w:rsidR="00F75540" w:rsidRDefault="00F75540"/>
    <w:p w:rsidR="00F75540" w:rsidRDefault="00F75540">
      <w:pPr>
        <w:sectPr w:rsidR="00F75540" w:rsidSect="00E3240E">
          <w:pgSz w:w="11907" w:h="16840"/>
          <w:pgMar w:top="1134" w:right="850" w:bottom="1134" w:left="1701" w:header="357" w:footer="720" w:gutter="0"/>
          <w:cols w:space="708"/>
          <w:docGrid w:linePitch="354"/>
        </w:sectPr>
      </w:pPr>
    </w:p>
    <w:p w:rsidR="00F75540" w:rsidRDefault="00F75540" w:rsidP="00F75540">
      <w:pPr>
        <w:autoSpaceDE w:val="0"/>
        <w:autoSpaceDN w:val="0"/>
        <w:adjustRightInd w:val="0"/>
        <w:ind w:left="9912"/>
        <w:jc w:val="right"/>
        <w:outlineLvl w:val="1"/>
      </w:pPr>
    </w:p>
    <w:p w:rsidR="00F75540" w:rsidRDefault="00F75540" w:rsidP="00F75540">
      <w:pPr>
        <w:autoSpaceDE w:val="0"/>
        <w:autoSpaceDN w:val="0"/>
        <w:adjustRightInd w:val="0"/>
        <w:ind w:left="9912"/>
        <w:jc w:val="right"/>
        <w:outlineLvl w:val="1"/>
        <w:rPr>
          <w:szCs w:val="28"/>
        </w:rPr>
      </w:pPr>
      <w:r>
        <w:t xml:space="preserve">                                 </w:t>
      </w:r>
      <w:r w:rsidRPr="00A7700E">
        <w:rPr>
          <w:szCs w:val="28"/>
        </w:rPr>
        <w:t xml:space="preserve">Таблица </w:t>
      </w:r>
      <w:r>
        <w:rPr>
          <w:szCs w:val="28"/>
        </w:rPr>
        <w:t>1</w:t>
      </w:r>
    </w:p>
    <w:p w:rsidR="00F75540" w:rsidRDefault="00F75540" w:rsidP="00F75540">
      <w:pPr>
        <w:jc w:val="center"/>
        <w:rPr>
          <w:rFonts w:eastAsia="Lucida Sans Unicode"/>
        </w:rPr>
      </w:pPr>
      <w:r w:rsidRPr="005A5ED7">
        <w:rPr>
          <w:szCs w:val="28"/>
        </w:rPr>
        <w:t xml:space="preserve">Сведения об индикаторах (показателях) муниципальной </w:t>
      </w:r>
      <w:r w:rsidRPr="004B1111">
        <w:t xml:space="preserve">программы </w:t>
      </w:r>
      <w:r w:rsidRPr="004B1111">
        <w:rPr>
          <w:rFonts w:eastAsia="Lucida Sans Unicode"/>
        </w:rPr>
        <w:t xml:space="preserve"> </w:t>
      </w:r>
    </w:p>
    <w:p w:rsidR="00F75540" w:rsidRDefault="00F75540" w:rsidP="00F75540">
      <w:pPr>
        <w:jc w:val="center"/>
        <w:rPr>
          <w:rFonts w:eastAsia="Lucida Sans Unicode"/>
        </w:rPr>
      </w:pPr>
      <w:r>
        <w:t>«Обеспечение жильем молодых семей в Ребрихинском районе»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240"/>
        <w:gridCol w:w="1099"/>
        <w:gridCol w:w="1098"/>
        <w:gridCol w:w="1099"/>
        <w:gridCol w:w="1098"/>
        <w:gridCol w:w="1099"/>
        <w:gridCol w:w="1098"/>
        <w:gridCol w:w="1099"/>
      </w:tblGrid>
      <w:tr w:rsidR="00F75540" w:rsidRPr="005E3230" w:rsidTr="00ED60ED">
        <w:trPr>
          <w:tblHeader/>
        </w:trPr>
        <w:tc>
          <w:tcPr>
            <w:tcW w:w="709" w:type="dxa"/>
            <w:vMerge w:val="restart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 xml:space="preserve">№ </w:t>
            </w:r>
            <w:proofErr w:type="gramStart"/>
            <w:r w:rsidRPr="005E3230">
              <w:rPr>
                <w:rFonts w:eastAsia="Calibri"/>
              </w:rPr>
              <w:t>п</w:t>
            </w:r>
            <w:proofErr w:type="gramEnd"/>
            <w:r w:rsidRPr="005E3230">
              <w:rPr>
                <w:rFonts w:eastAsia="Calibri"/>
              </w:rPr>
              <w:t xml:space="preserve">/п </w:t>
            </w:r>
          </w:p>
        </w:tc>
        <w:tc>
          <w:tcPr>
            <w:tcW w:w="4820" w:type="dxa"/>
            <w:vMerge w:val="restart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 xml:space="preserve">Единица  измерения </w:t>
            </w:r>
          </w:p>
        </w:tc>
        <w:tc>
          <w:tcPr>
            <w:tcW w:w="8930" w:type="dxa"/>
            <w:gridSpan w:val="8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 xml:space="preserve">Значения по годам </w:t>
            </w:r>
          </w:p>
        </w:tc>
      </w:tr>
      <w:tr w:rsidR="00F75540" w:rsidRPr="005E3230" w:rsidTr="00ED60ED">
        <w:trPr>
          <w:tblHeader/>
        </w:trPr>
        <w:tc>
          <w:tcPr>
            <w:tcW w:w="709" w:type="dxa"/>
            <w:vMerge/>
          </w:tcPr>
          <w:p w:rsidR="00F75540" w:rsidRPr="005E3230" w:rsidRDefault="00F75540" w:rsidP="00ED60ED">
            <w:pPr>
              <w:rPr>
                <w:rFonts w:eastAsia="Calibri"/>
              </w:rPr>
            </w:pPr>
          </w:p>
        </w:tc>
        <w:tc>
          <w:tcPr>
            <w:tcW w:w="4820" w:type="dxa"/>
            <w:vMerge/>
          </w:tcPr>
          <w:p w:rsidR="00F75540" w:rsidRPr="005E3230" w:rsidRDefault="00F75540" w:rsidP="00ED60ED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F75540" w:rsidRPr="005E3230" w:rsidRDefault="00F75540" w:rsidP="00ED60ED">
            <w:pPr>
              <w:rPr>
                <w:rFonts w:eastAsia="Calibri"/>
              </w:rPr>
            </w:pPr>
          </w:p>
        </w:tc>
        <w:tc>
          <w:tcPr>
            <w:tcW w:w="1240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5E3230">
              <w:rPr>
                <w:rFonts w:eastAsia="Calibri"/>
              </w:rPr>
              <w:t xml:space="preserve"> г. (факт)</w:t>
            </w:r>
          </w:p>
        </w:tc>
        <w:tc>
          <w:tcPr>
            <w:tcW w:w="1099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5E3230">
              <w:rPr>
                <w:rFonts w:eastAsia="Calibri"/>
              </w:rPr>
              <w:t xml:space="preserve"> г. (оценка)</w:t>
            </w:r>
          </w:p>
        </w:tc>
        <w:tc>
          <w:tcPr>
            <w:tcW w:w="1098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5E3230">
              <w:rPr>
                <w:rFonts w:eastAsia="Calibri"/>
              </w:rPr>
              <w:t xml:space="preserve"> г.</w:t>
            </w:r>
          </w:p>
        </w:tc>
        <w:tc>
          <w:tcPr>
            <w:tcW w:w="1099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5E3230">
              <w:rPr>
                <w:rFonts w:eastAsia="Calibri"/>
              </w:rPr>
              <w:t xml:space="preserve"> г.</w:t>
            </w:r>
          </w:p>
        </w:tc>
        <w:tc>
          <w:tcPr>
            <w:tcW w:w="1098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5E3230">
              <w:rPr>
                <w:rFonts w:eastAsia="Calibri"/>
              </w:rPr>
              <w:t xml:space="preserve"> г.</w:t>
            </w:r>
          </w:p>
        </w:tc>
        <w:tc>
          <w:tcPr>
            <w:tcW w:w="1099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5E3230">
              <w:rPr>
                <w:rFonts w:eastAsia="Calibri"/>
              </w:rPr>
              <w:t xml:space="preserve"> г.</w:t>
            </w:r>
          </w:p>
        </w:tc>
        <w:tc>
          <w:tcPr>
            <w:tcW w:w="1098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5E3230">
              <w:rPr>
                <w:rFonts w:eastAsia="Calibri"/>
              </w:rPr>
              <w:t xml:space="preserve"> г.</w:t>
            </w:r>
          </w:p>
        </w:tc>
        <w:tc>
          <w:tcPr>
            <w:tcW w:w="1099" w:type="dxa"/>
          </w:tcPr>
          <w:p w:rsidR="00F75540" w:rsidRPr="005E3230" w:rsidRDefault="00F75540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5E3230">
              <w:rPr>
                <w:rFonts w:eastAsia="Calibri"/>
              </w:rPr>
              <w:t xml:space="preserve"> г. </w:t>
            </w:r>
          </w:p>
        </w:tc>
      </w:tr>
      <w:tr w:rsidR="008B18C4" w:rsidRPr="005E3230" w:rsidTr="00ED60ED">
        <w:tc>
          <w:tcPr>
            <w:tcW w:w="709" w:type="dxa"/>
          </w:tcPr>
          <w:p w:rsidR="008B18C4" w:rsidRPr="005E3230" w:rsidRDefault="008B18C4" w:rsidP="00ED60ED">
            <w:pPr>
              <w:rPr>
                <w:rFonts w:eastAsia="Calibri"/>
              </w:rPr>
            </w:pPr>
            <w:r w:rsidRPr="005E3230">
              <w:rPr>
                <w:rFonts w:eastAsia="Calibri"/>
              </w:rPr>
              <w:t>1</w:t>
            </w:r>
          </w:p>
        </w:tc>
        <w:tc>
          <w:tcPr>
            <w:tcW w:w="4820" w:type="dxa"/>
          </w:tcPr>
          <w:p w:rsidR="008B18C4" w:rsidRPr="005E3230" w:rsidRDefault="008B18C4" w:rsidP="00ED60ED">
            <w:pPr>
              <w:rPr>
                <w:rFonts w:eastAsia="Calibri"/>
              </w:rPr>
            </w:pPr>
            <w:r w:rsidRPr="005E3230">
              <w:rPr>
                <w:szCs w:val="28"/>
              </w:rPr>
              <w:t xml:space="preserve">Количество молодых семей, улучшивших свои  жилищные условия                  </w:t>
            </w:r>
          </w:p>
        </w:tc>
        <w:tc>
          <w:tcPr>
            <w:tcW w:w="1417" w:type="dxa"/>
          </w:tcPr>
          <w:p w:rsidR="008B18C4" w:rsidRPr="005E3230" w:rsidRDefault="008B18C4" w:rsidP="00ED60ED">
            <w:pPr>
              <w:jc w:val="center"/>
              <w:rPr>
                <w:rFonts w:eastAsia="Calibri"/>
              </w:rPr>
            </w:pPr>
            <w:r w:rsidRPr="005E3230">
              <w:rPr>
                <w:szCs w:val="28"/>
              </w:rPr>
              <w:t>семья</w:t>
            </w:r>
          </w:p>
        </w:tc>
        <w:tc>
          <w:tcPr>
            <w:tcW w:w="1240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99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8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99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8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9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8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9" w:type="dxa"/>
          </w:tcPr>
          <w:p w:rsidR="008B18C4" w:rsidRPr="005E3230" w:rsidRDefault="008B18C4" w:rsidP="009953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F75540" w:rsidRPr="005E3230" w:rsidRDefault="00F75540" w:rsidP="00F75540"/>
    <w:p w:rsidR="00F75540" w:rsidRPr="005E3230" w:rsidRDefault="00F75540" w:rsidP="00F75540">
      <w:pPr>
        <w:autoSpaceDE w:val="0"/>
        <w:autoSpaceDN w:val="0"/>
        <w:adjustRightInd w:val="0"/>
        <w:ind w:firstLine="540"/>
        <w:jc w:val="both"/>
      </w:pPr>
    </w:p>
    <w:p w:rsidR="00F75540" w:rsidRPr="005E3230" w:rsidRDefault="00F75540" w:rsidP="00F75540">
      <w:pPr>
        <w:jc w:val="right"/>
      </w:pPr>
      <w:r w:rsidRPr="005E3230">
        <w:t>Таблица 2</w:t>
      </w:r>
    </w:p>
    <w:p w:rsidR="00F75540" w:rsidRPr="005E3230" w:rsidRDefault="00F75540" w:rsidP="00F75540">
      <w:pPr>
        <w:autoSpaceDE w:val="0"/>
        <w:autoSpaceDN w:val="0"/>
        <w:adjustRightInd w:val="0"/>
        <w:jc w:val="both"/>
      </w:pPr>
    </w:p>
    <w:p w:rsidR="00F75540" w:rsidRDefault="00F75540" w:rsidP="00F75540">
      <w:pPr>
        <w:autoSpaceDE w:val="0"/>
        <w:autoSpaceDN w:val="0"/>
        <w:adjustRightInd w:val="0"/>
        <w:jc w:val="center"/>
      </w:pPr>
      <w:r w:rsidRPr="005E3230">
        <w:t xml:space="preserve">Перечень мероприятий </w:t>
      </w:r>
    </w:p>
    <w:p w:rsidR="00F75540" w:rsidRPr="005E3230" w:rsidRDefault="00F75540" w:rsidP="009B67B1">
      <w:pPr>
        <w:autoSpaceDE w:val="0"/>
        <w:autoSpaceDN w:val="0"/>
        <w:adjustRightInd w:val="0"/>
        <w:jc w:val="center"/>
      </w:pPr>
      <w:r w:rsidRPr="005E3230">
        <w:t xml:space="preserve">муниципальной программы «Обеспечение жильем молодых семей в Ребрихинском районе» </w:t>
      </w:r>
    </w:p>
    <w:tbl>
      <w:tblPr>
        <w:tblW w:w="1584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700"/>
        <w:gridCol w:w="1418"/>
        <w:gridCol w:w="1417"/>
        <w:gridCol w:w="992"/>
        <w:gridCol w:w="993"/>
        <w:gridCol w:w="850"/>
        <w:gridCol w:w="851"/>
        <w:gridCol w:w="850"/>
        <w:gridCol w:w="851"/>
        <w:gridCol w:w="1134"/>
        <w:gridCol w:w="1701"/>
        <w:gridCol w:w="1417"/>
      </w:tblGrid>
      <w:tr w:rsidR="00BE496C" w:rsidRPr="00BE496C" w:rsidTr="00BE496C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49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496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задача,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BE496C" w:rsidRPr="00BE496C" w:rsidRDefault="00BE496C" w:rsidP="004D4D9B"/>
          <w:p w:rsidR="00BE496C" w:rsidRPr="00BE496C" w:rsidRDefault="00BE496C" w:rsidP="004D4D9B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от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</w:tr>
      <w:tr w:rsidR="00BE496C" w:rsidRPr="00BE496C" w:rsidTr="00BE496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2022 г.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2025 г.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6C" w:rsidRPr="00BE496C" w:rsidTr="00BE496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12        </w:t>
            </w:r>
          </w:p>
        </w:tc>
      </w:tr>
      <w:tr w:rsidR="00BE496C" w:rsidRPr="00BE496C" w:rsidTr="00BE496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</w:p>
          <w:p w:rsidR="00BE496C" w:rsidRPr="00BE496C" w:rsidRDefault="00BE496C" w:rsidP="004D4D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в решении жилищной проблемы молодых семей, проживающих в Ребрихинском районе, признанных в установленном </w:t>
            </w:r>
            <w:proofErr w:type="gram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2021-2026гг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1895,0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581,6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937,9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10934,7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1093,7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1094,6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2196,3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Обеспечено жильем 8 молодых семей</w:t>
            </w:r>
          </w:p>
        </w:tc>
      </w:tr>
      <w:tr w:rsidR="00BE496C" w:rsidRPr="00BE496C" w:rsidTr="00BE496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- участникам программы  социальных   выплат   на   приобретение   и                      строительство жилья;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2021-2026гг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1895,0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581,6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937,9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10934,7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1093,7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1094,6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2196,3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Обеспечено жильем 8 молодых семей</w:t>
            </w:r>
          </w:p>
        </w:tc>
      </w:tr>
      <w:tr w:rsidR="00BE496C" w:rsidRPr="00BE496C" w:rsidTr="00BE496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1.1.1.Определение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ежегодного   объема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 районного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бюджета          на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года, предшествующего </w:t>
            </w:r>
            <w:proofErr w:type="gram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плановому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делам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выделение средств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из       районного бюджета        на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</w:tr>
      <w:tr w:rsidR="00BE496C" w:rsidRPr="00BE496C" w:rsidTr="00BE496C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Сбор    данных    о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молодых    семьях -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участниках 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Ежегодно до 1 июня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</w:p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делам        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наличие    единой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базы  данных   по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Ребрихинскому</w:t>
            </w:r>
            <w:proofErr w:type="spellEnd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BE496C" w:rsidRPr="00BE496C" w:rsidTr="00BE496C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Подготовка   пакета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      для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участия  Ребрихинского района  в  конкурсном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отборе    субъектов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Алтайского края  для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программы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Согласно срокам, установленным в конкурс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</w:p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делам        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участие         в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конкурсном отборе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Алтайского края для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</w:tr>
      <w:tr w:rsidR="00BE496C" w:rsidRPr="00BE496C" w:rsidTr="00BE496C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1.1.4.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       с Управлением молодежной политики и реализации программ общественного развития Алтайского края о  реализации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мероприятий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</w:p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делам        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выделение средств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из   краевого и федерального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        на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</w:tr>
      <w:tr w:rsidR="00BE496C" w:rsidRPr="00BE496C" w:rsidTr="00BE496C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1.1.5.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праве на получение  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 выплаты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на     приобретение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(строительство) жилья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 течение 15 дней со дня получения выписки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</w:p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делам        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6C" w:rsidRPr="00BE496C" w:rsidTr="00BE496C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1.1.6.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  выплат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молодым  семьям  на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(строительство)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жилья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предоставления молодой семьей документов на приобретение (строительство) жилья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физические лица (молодые семьи) (по согласованию)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1895,0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581,6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937,9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10934,7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1093,7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1094,6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2196,3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Обеспечено жильем 8 молодых семей</w:t>
            </w:r>
          </w:p>
        </w:tc>
      </w:tr>
      <w:tr w:rsidR="00BE496C" w:rsidRPr="00BE496C" w:rsidTr="00BE496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1.1.7.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молодежной </w:t>
            </w:r>
            <w:proofErr w:type="gram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политики и реализации программ общественного развития Алтайского края отчетов</w:t>
            </w:r>
            <w:proofErr w:type="gramEnd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          об использовании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федерального,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краевого     и  местного   бюджетов, выделенных       на предоставление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выплат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</w:p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делам        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контроля       за</w:t>
            </w:r>
            <w:proofErr w:type="gramEnd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реализацией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</w:tr>
      <w:tr w:rsidR="00BE496C" w:rsidRPr="00BE496C" w:rsidTr="00BE496C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1.1.8.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в пределах полномочий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</w:p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делам        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своевременная   и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качественная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реализация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</w:tr>
      <w:tr w:rsidR="00BE496C" w:rsidRPr="00BE496C" w:rsidTr="00BE496C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Мероприятие 1.1.9.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освещения  целей  и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задач    программы,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хода ее  реализации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>в районной газете «Знамя труда»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</w:t>
            </w:r>
          </w:p>
          <w:p w:rsidR="00BE496C" w:rsidRPr="00BE496C" w:rsidRDefault="00BE496C" w:rsidP="004D4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делам        </w:t>
            </w:r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информированно</w:t>
            </w:r>
            <w:proofErr w:type="spellEnd"/>
          </w:p>
          <w:p w:rsidR="00BE496C" w:rsidRPr="00BE496C" w:rsidRDefault="00BE496C" w:rsidP="004D4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BE496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 о реализации       </w:t>
            </w:r>
            <w:r w:rsidRPr="00BE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</w:tr>
    </w:tbl>
    <w:p w:rsidR="00F75540" w:rsidRDefault="00F75540" w:rsidP="00F75540">
      <w:pPr>
        <w:autoSpaceDE w:val="0"/>
        <w:autoSpaceDN w:val="0"/>
        <w:adjustRightInd w:val="0"/>
        <w:ind w:firstLine="540"/>
        <w:jc w:val="both"/>
      </w:pPr>
    </w:p>
    <w:p w:rsidR="00F75540" w:rsidRDefault="00F75540" w:rsidP="00F75540"/>
    <w:p w:rsidR="00F75540" w:rsidRDefault="00F75540" w:rsidP="00F75540">
      <w:pPr>
        <w:sectPr w:rsidR="00F75540" w:rsidSect="00F75540">
          <w:pgSz w:w="16840" w:h="11907" w:orient="landscape"/>
          <w:pgMar w:top="851" w:right="1134" w:bottom="1701" w:left="1134" w:header="357" w:footer="720" w:gutter="0"/>
          <w:cols w:space="708"/>
          <w:docGrid w:linePitch="354"/>
        </w:sectPr>
      </w:pPr>
    </w:p>
    <w:p w:rsidR="00F75540" w:rsidRDefault="00F75540" w:rsidP="00F75540">
      <w:pPr>
        <w:tabs>
          <w:tab w:val="left" w:pos="9781"/>
        </w:tabs>
        <w:jc w:val="right"/>
        <w:rPr>
          <w:szCs w:val="28"/>
        </w:rPr>
      </w:pPr>
      <w:r>
        <w:rPr>
          <w:szCs w:val="28"/>
        </w:rPr>
        <w:lastRenderedPageBreak/>
        <w:t>Таблица 3</w:t>
      </w:r>
    </w:p>
    <w:p w:rsidR="00F75540" w:rsidRDefault="00F75540" w:rsidP="00F75540">
      <w:pPr>
        <w:tabs>
          <w:tab w:val="left" w:pos="9781"/>
        </w:tabs>
        <w:jc w:val="center"/>
        <w:rPr>
          <w:szCs w:val="28"/>
        </w:rPr>
      </w:pPr>
      <w:r>
        <w:rPr>
          <w:szCs w:val="28"/>
        </w:rPr>
        <w:t xml:space="preserve">Объем финансовых ресурсов, необходимых для реализации </w:t>
      </w:r>
      <w:r w:rsidRPr="005A5ED7">
        <w:rPr>
          <w:szCs w:val="28"/>
        </w:rPr>
        <w:t xml:space="preserve"> муниципальной программы </w:t>
      </w:r>
    </w:p>
    <w:p w:rsidR="00F75540" w:rsidRPr="005E3230" w:rsidRDefault="00F75540" w:rsidP="00F75540">
      <w:pPr>
        <w:autoSpaceDE w:val="0"/>
        <w:autoSpaceDN w:val="0"/>
        <w:adjustRightInd w:val="0"/>
        <w:jc w:val="center"/>
      </w:pPr>
      <w:r w:rsidRPr="005E3230">
        <w:t xml:space="preserve">«Обеспечение жильем молодых семей в Ребрихинском районе» </w:t>
      </w: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26"/>
        <w:gridCol w:w="876"/>
        <w:gridCol w:w="876"/>
        <w:gridCol w:w="941"/>
        <w:gridCol w:w="876"/>
        <w:gridCol w:w="876"/>
        <w:gridCol w:w="942"/>
      </w:tblGrid>
      <w:tr w:rsidR="004D4D9B" w:rsidRPr="0034226F" w:rsidTr="004D4D9B">
        <w:tc>
          <w:tcPr>
            <w:tcW w:w="3686" w:type="dxa"/>
            <w:vMerge w:val="restart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6413" w:type="dxa"/>
            <w:gridSpan w:val="7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Сумма расходов, тыс. рублей</w:t>
            </w:r>
          </w:p>
        </w:tc>
      </w:tr>
      <w:tr w:rsidR="004D4D9B" w:rsidRPr="0034226F" w:rsidTr="004D4D9B">
        <w:tc>
          <w:tcPr>
            <w:tcW w:w="3686" w:type="dxa"/>
            <w:vMerge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1026" w:type="dxa"/>
            <w:vMerge w:val="restart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 xml:space="preserve">Всего </w:t>
            </w:r>
          </w:p>
        </w:tc>
        <w:tc>
          <w:tcPr>
            <w:tcW w:w="5387" w:type="dxa"/>
            <w:gridSpan w:val="6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 xml:space="preserve">в том числе по годам </w:t>
            </w:r>
          </w:p>
        </w:tc>
      </w:tr>
      <w:tr w:rsidR="004D4D9B" w:rsidRPr="0034226F" w:rsidTr="004D4D9B">
        <w:tc>
          <w:tcPr>
            <w:tcW w:w="3686" w:type="dxa"/>
            <w:vMerge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1026" w:type="dxa"/>
            <w:vMerge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34226F">
              <w:rPr>
                <w:rFonts w:eastAsia="Calibri"/>
              </w:rPr>
              <w:t>г.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34226F">
              <w:rPr>
                <w:rFonts w:eastAsia="Calibri"/>
              </w:rPr>
              <w:t>г.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34226F">
              <w:rPr>
                <w:rFonts w:eastAsia="Calibri"/>
              </w:rPr>
              <w:t xml:space="preserve"> г.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34226F">
              <w:rPr>
                <w:rFonts w:eastAsia="Calibri"/>
              </w:rPr>
              <w:t>г.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4226F">
              <w:rPr>
                <w:rFonts w:eastAsia="Calibri"/>
              </w:rPr>
              <w:t>г.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4226F">
              <w:rPr>
                <w:rFonts w:eastAsia="Calibri"/>
              </w:rPr>
              <w:t xml:space="preserve"> г.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Всего финансовых затрат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10934,7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1895,0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1300,0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1665,6</w:t>
            </w:r>
          </w:p>
        </w:tc>
        <w:tc>
          <w:tcPr>
            <w:tcW w:w="876" w:type="dxa"/>
          </w:tcPr>
          <w:p w:rsidR="004D4D9B" w:rsidRDefault="004D4D9B" w:rsidP="004D4D9B">
            <w:r w:rsidRPr="00F40101">
              <w:rPr>
                <w:rFonts w:eastAsia="Calibri"/>
              </w:rPr>
              <w:t>2024,7</w:t>
            </w:r>
          </w:p>
        </w:tc>
        <w:tc>
          <w:tcPr>
            <w:tcW w:w="876" w:type="dxa"/>
          </w:tcPr>
          <w:p w:rsidR="004D4D9B" w:rsidRDefault="004D4D9B" w:rsidP="004D4D9B">
            <w:pPr>
              <w:ind w:right="-83"/>
            </w:pPr>
            <w:r w:rsidRPr="00F40101">
              <w:rPr>
                <w:rFonts w:eastAsia="Calibri"/>
              </w:rPr>
              <w:t>2024,7</w:t>
            </w:r>
          </w:p>
        </w:tc>
        <w:tc>
          <w:tcPr>
            <w:tcW w:w="942" w:type="dxa"/>
          </w:tcPr>
          <w:p w:rsidR="004D4D9B" w:rsidRDefault="004D4D9B" w:rsidP="004D4D9B">
            <w:r w:rsidRPr="00F40101">
              <w:rPr>
                <w:rFonts w:eastAsia="Calibri"/>
              </w:rPr>
              <w:t>2024,7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в том числе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</w:tr>
      <w:tr w:rsidR="004D4D9B" w:rsidRPr="0034226F" w:rsidTr="004D4D9B">
        <w:tc>
          <w:tcPr>
            <w:tcW w:w="3686" w:type="dxa"/>
          </w:tcPr>
          <w:p w:rsidR="004D4D9B" w:rsidRPr="00B85F63" w:rsidRDefault="004D4D9B" w:rsidP="004D4D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районный бюджет</w:t>
            </w:r>
            <w:r w:rsidRPr="00B85F63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26" w:type="dxa"/>
          </w:tcPr>
          <w:p w:rsidR="004D4D9B" w:rsidRPr="00B85F63" w:rsidRDefault="004D4D9B" w:rsidP="004D4D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1093,7</w:t>
            </w:r>
          </w:p>
        </w:tc>
        <w:tc>
          <w:tcPr>
            <w:tcW w:w="876" w:type="dxa"/>
          </w:tcPr>
          <w:p w:rsidR="004D4D9B" w:rsidRPr="00927BD3" w:rsidRDefault="004D4D9B" w:rsidP="004D4D9B">
            <w:pPr>
              <w:rPr>
                <w:rFonts w:eastAsia="Calibri"/>
                <w:b/>
              </w:rPr>
            </w:pPr>
            <w:r w:rsidRPr="00927BD3">
              <w:rPr>
                <w:rFonts w:eastAsia="Calibri"/>
                <w:b/>
              </w:rPr>
              <w:t>234,5</w:t>
            </w:r>
          </w:p>
        </w:tc>
        <w:tc>
          <w:tcPr>
            <w:tcW w:w="876" w:type="dxa"/>
          </w:tcPr>
          <w:p w:rsidR="004D4D9B" w:rsidRPr="00B85F63" w:rsidRDefault="004D4D9B" w:rsidP="004D4D9B">
            <w:pPr>
              <w:rPr>
                <w:b/>
              </w:rPr>
            </w:pPr>
            <w:r>
              <w:rPr>
                <w:rFonts w:eastAsia="Calibri"/>
                <w:b/>
              </w:rPr>
              <w:t>84,8</w:t>
            </w:r>
          </w:p>
        </w:tc>
        <w:tc>
          <w:tcPr>
            <w:tcW w:w="941" w:type="dxa"/>
          </w:tcPr>
          <w:p w:rsidR="004D4D9B" w:rsidRPr="00B85F63" w:rsidRDefault="004D4D9B" w:rsidP="004D4D9B">
            <w:pPr>
              <w:rPr>
                <w:b/>
              </w:rPr>
            </w:pPr>
            <w:r>
              <w:rPr>
                <w:rFonts w:eastAsia="Calibri"/>
                <w:b/>
              </w:rPr>
              <w:t>136,6</w:t>
            </w:r>
          </w:p>
        </w:tc>
        <w:tc>
          <w:tcPr>
            <w:tcW w:w="876" w:type="dxa"/>
          </w:tcPr>
          <w:p w:rsidR="004D4D9B" w:rsidRPr="00B85F63" w:rsidRDefault="004D4D9B" w:rsidP="004D4D9B">
            <w:pPr>
              <w:rPr>
                <w:b/>
              </w:rPr>
            </w:pPr>
            <w:r w:rsidRPr="00B85F63">
              <w:rPr>
                <w:rFonts w:eastAsia="Calibri"/>
                <w:b/>
              </w:rPr>
              <w:t>212,6</w:t>
            </w:r>
          </w:p>
        </w:tc>
        <w:tc>
          <w:tcPr>
            <w:tcW w:w="876" w:type="dxa"/>
          </w:tcPr>
          <w:p w:rsidR="004D4D9B" w:rsidRPr="00B85F63" w:rsidRDefault="004D4D9B" w:rsidP="004D4D9B">
            <w:pPr>
              <w:rPr>
                <w:b/>
              </w:rPr>
            </w:pPr>
            <w:r w:rsidRPr="00B85F63">
              <w:rPr>
                <w:rFonts w:eastAsia="Calibri"/>
                <w:b/>
              </w:rPr>
              <w:t>212,6</w:t>
            </w:r>
          </w:p>
        </w:tc>
        <w:tc>
          <w:tcPr>
            <w:tcW w:w="942" w:type="dxa"/>
          </w:tcPr>
          <w:p w:rsidR="004D4D9B" w:rsidRPr="00B85F63" w:rsidRDefault="004D4D9B" w:rsidP="004D4D9B">
            <w:pPr>
              <w:rPr>
                <w:b/>
              </w:rPr>
            </w:pPr>
            <w:r w:rsidRPr="00B85F63">
              <w:rPr>
                <w:rFonts w:eastAsia="Calibri"/>
                <w:b/>
              </w:rPr>
              <w:t>212,6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краевой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1094,6</w:t>
            </w:r>
          </w:p>
        </w:tc>
        <w:tc>
          <w:tcPr>
            <w:tcW w:w="876" w:type="dxa"/>
          </w:tcPr>
          <w:p w:rsidR="004D4D9B" w:rsidRPr="00927BD3" w:rsidRDefault="004D4D9B" w:rsidP="004D4D9B">
            <w:r w:rsidRPr="00927BD3">
              <w:rPr>
                <w:rFonts w:eastAsia="Calibri"/>
              </w:rPr>
              <w:t>235,2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85,0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136,6</w:t>
            </w:r>
          </w:p>
        </w:tc>
        <w:tc>
          <w:tcPr>
            <w:tcW w:w="876" w:type="dxa"/>
          </w:tcPr>
          <w:p w:rsidR="004D4D9B" w:rsidRDefault="004D4D9B" w:rsidP="004D4D9B">
            <w:r w:rsidRPr="000445E7">
              <w:rPr>
                <w:rFonts w:eastAsia="Calibri"/>
              </w:rPr>
              <w:t>212,6</w:t>
            </w:r>
          </w:p>
        </w:tc>
        <w:tc>
          <w:tcPr>
            <w:tcW w:w="876" w:type="dxa"/>
          </w:tcPr>
          <w:p w:rsidR="004D4D9B" w:rsidRDefault="004D4D9B" w:rsidP="004D4D9B">
            <w:r w:rsidRPr="000445E7">
              <w:rPr>
                <w:rFonts w:eastAsia="Calibri"/>
              </w:rPr>
              <w:t>212,6</w:t>
            </w:r>
          </w:p>
        </w:tc>
        <w:tc>
          <w:tcPr>
            <w:tcW w:w="942" w:type="dxa"/>
          </w:tcPr>
          <w:p w:rsidR="004D4D9B" w:rsidRDefault="004D4D9B" w:rsidP="004D4D9B">
            <w:r w:rsidRPr="000445E7">
              <w:rPr>
                <w:rFonts w:eastAsia="Calibri"/>
              </w:rPr>
              <w:t>212,6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2196,3</w:t>
            </w:r>
          </w:p>
        </w:tc>
        <w:tc>
          <w:tcPr>
            <w:tcW w:w="876" w:type="dxa"/>
          </w:tcPr>
          <w:p w:rsidR="004D4D9B" w:rsidRPr="00927BD3" w:rsidRDefault="004D4D9B" w:rsidP="004D4D9B">
            <w:pPr>
              <w:rPr>
                <w:rFonts w:eastAsia="Calibri"/>
              </w:rPr>
            </w:pPr>
            <w:r w:rsidRPr="00927BD3">
              <w:rPr>
                <w:rFonts w:eastAsia="Calibri"/>
              </w:rPr>
              <w:t>843,7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192,3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309,8</w:t>
            </w:r>
          </w:p>
        </w:tc>
        <w:tc>
          <w:tcPr>
            <w:tcW w:w="876" w:type="dxa"/>
          </w:tcPr>
          <w:p w:rsidR="004D4D9B" w:rsidRDefault="004D4D9B" w:rsidP="004D4D9B">
            <w:r w:rsidRPr="00210B61">
              <w:rPr>
                <w:rFonts w:eastAsia="Calibri"/>
              </w:rPr>
              <w:t>283,5</w:t>
            </w:r>
          </w:p>
        </w:tc>
        <w:tc>
          <w:tcPr>
            <w:tcW w:w="876" w:type="dxa"/>
          </w:tcPr>
          <w:p w:rsidR="004D4D9B" w:rsidRDefault="004D4D9B" w:rsidP="004D4D9B">
            <w:r w:rsidRPr="00210B61">
              <w:rPr>
                <w:rFonts w:eastAsia="Calibri"/>
              </w:rPr>
              <w:t>283,5</w:t>
            </w:r>
          </w:p>
        </w:tc>
        <w:tc>
          <w:tcPr>
            <w:tcW w:w="942" w:type="dxa"/>
          </w:tcPr>
          <w:p w:rsidR="004D4D9B" w:rsidRDefault="004D4D9B" w:rsidP="004D4D9B">
            <w:r w:rsidRPr="00210B61">
              <w:rPr>
                <w:rFonts w:eastAsia="Calibri"/>
              </w:rPr>
              <w:t>283,5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внебюджетные источники</w:t>
            </w:r>
            <w:r w:rsidRPr="0034226F">
              <w:rPr>
                <w:rFonts w:eastAsia="Calibri"/>
              </w:rPr>
              <w:t xml:space="preserve"> 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6550,1</w:t>
            </w:r>
          </w:p>
        </w:tc>
        <w:tc>
          <w:tcPr>
            <w:tcW w:w="876" w:type="dxa"/>
          </w:tcPr>
          <w:p w:rsidR="004D4D9B" w:rsidRPr="00927BD3" w:rsidRDefault="004D4D9B" w:rsidP="004D4D9B">
            <w:pPr>
              <w:rPr>
                <w:rFonts w:eastAsia="Calibri"/>
              </w:rPr>
            </w:pPr>
            <w:r w:rsidRPr="00927BD3">
              <w:rPr>
                <w:rFonts w:eastAsia="Calibri"/>
              </w:rPr>
              <w:t>581,6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937,9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1082,6</w:t>
            </w:r>
          </w:p>
        </w:tc>
        <w:tc>
          <w:tcPr>
            <w:tcW w:w="876" w:type="dxa"/>
          </w:tcPr>
          <w:p w:rsidR="004D4D9B" w:rsidRDefault="004D4D9B" w:rsidP="004D4D9B">
            <w:r w:rsidRPr="00C343CE">
              <w:rPr>
                <w:rFonts w:eastAsia="Calibri"/>
              </w:rPr>
              <w:t>1316</w:t>
            </w:r>
          </w:p>
        </w:tc>
        <w:tc>
          <w:tcPr>
            <w:tcW w:w="876" w:type="dxa"/>
          </w:tcPr>
          <w:p w:rsidR="004D4D9B" w:rsidRDefault="004D4D9B" w:rsidP="004D4D9B">
            <w:r w:rsidRPr="00C343CE">
              <w:rPr>
                <w:rFonts w:eastAsia="Calibri"/>
              </w:rPr>
              <w:t>1316</w:t>
            </w:r>
          </w:p>
        </w:tc>
        <w:tc>
          <w:tcPr>
            <w:tcW w:w="942" w:type="dxa"/>
          </w:tcPr>
          <w:p w:rsidR="004D4D9B" w:rsidRDefault="004D4D9B" w:rsidP="004D4D9B">
            <w:r w:rsidRPr="00C343CE">
              <w:rPr>
                <w:rFonts w:eastAsia="Calibri"/>
              </w:rPr>
              <w:t>1316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34226F">
              <w:rPr>
                <w:rFonts w:eastAsia="Calibri"/>
              </w:rPr>
              <w:t xml:space="preserve">апитальные  вложения </w:t>
            </w:r>
          </w:p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 xml:space="preserve"> (из строки 1)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10934,7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1895,0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1300,0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1665,6</w:t>
            </w:r>
          </w:p>
        </w:tc>
        <w:tc>
          <w:tcPr>
            <w:tcW w:w="876" w:type="dxa"/>
          </w:tcPr>
          <w:p w:rsidR="004D4D9B" w:rsidRDefault="004D4D9B" w:rsidP="004D4D9B">
            <w:r w:rsidRPr="00F40101">
              <w:rPr>
                <w:rFonts w:eastAsia="Calibri"/>
              </w:rPr>
              <w:t>2024,7</w:t>
            </w:r>
          </w:p>
        </w:tc>
        <w:tc>
          <w:tcPr>
            <w:tcW w:w="876" w:type="dxa"/>
          </w:tcPr>
          <w:p w:rsidR="004D4D9B" w:rsidRDefault="004D4D9B" w:rsidP="004D4D9B">
            <w:r w:rsidRPr="00F40101">
              <w:rPr>
                <w:rFonts w:eastAsia="Calibri"/>
              </w:rPr>
              <w:t>2024,7</w:t>
            </w:r>
          </w:p>
        </w:tc>
        <w:tc>
          <w:tcPr>
            <w:tcW w:w="942" w:type="dxa"/>
          </w:tcPr>
          <w:p w:rsidR="004D4D9B" w:rsidRDefault="004D4D9B" w:rsidP="004D4D9B">
            <w:r w:rsidRPr="00F40101">
              <w:rPr>
                <w:rFonts w:eastAsia="Calibri"/>
              </w:rPr>
              <w:t>2024,7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в том числе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районный</w:t>
            </w:r>
            <w:proofErr w:type="gramEnd"/>
            <w:r w:rsidRPr="0034226F">
              <w:rPr>
                <w:rFonts w:eastAsia="Calibri"/>
              </w:rPr>
              <w:t xml:space="preserve"> бюджета</w:t>
            </w:r>
          </w:p>
        </w:tc>
        <w:tc>
          <w:tcPr>
            <w:tcW w:w="1026" w:type="dxa"/>
          </w:tcPr>
          <w:p w:rsidR="004D4D9B" w:rsidRPr="000704E9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1093,7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234,5</w:t>
            </w:r>
          </w:p>
        </w:tc>
        <w:tc>
          <w:tcPr>
            <w:tcW w:w="876" w:type="dxa"/>
          </w:tcPr>
          <w:p w:rsidR="004D4D9B" w:rsidRPr="00B66F82" w:rsidRDefault="004D4D9B" w:rsidP="004D4D9B">
            <w:r w:rsidRPr="00B66F82">
              <w:rPr>
                <w:rFonts w:eastAsia="Calibri"/>
              </w:rPr>
              <w:t>84,8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136,6</w:t>
            </w:r>
          </w:p>
        </w:tc>
        <w:tc>
          <w:tcPr>
            <w:tcW w:w="876" w:type="dxa"/>
          </w:tcPr>
          <w:p w:rsidR="004D4D9B" w:rsidRDefault="004D4D9B" w:rsidP="004D4D9B">
            <w:r w:rsidRPr="00D9303F">
              <w:rPr>
                <w:rFonts w:eastAsia="Calibri"/>
              </w:rPr>
              <w:t>212,6</w:t>
            </w:r>
          </w:p>
        </w:tc>
        <w:tc>
          <w:tcPr>
            <w:tcW w:w="876" w:type="dxa"/>
          </w:tcPr>
          <w:p w:rsidR="004D4D9B" w:rsidRDefault="004D4D9B" w:rsidP="004D4D9B">
            <w:r w:rsidRPr="00D9303F">
              <w:rPr>
                <w:rFonts w:eastAsia="Calibri"/>
              </w:rPr>
              <w:t>212,6</w:t>
            </w:r>
          </w:p>
        </w:tc>
        <w:tc>
          <w:tcPr>
            <w:tcW w:w="942" w:type="dxa"/>
          </w:tcPr>
          <w:p w:rsidR="004D4D9B" w:rsidRDefault="004D4D9B" w:rsidP="004D4D9B">
            <w:r w:rsidRPr="00D9303F">
              <w:rPr>
                <w:rFonts w:eastAsia="Calibri"/>
              </w:rPr>
              <w:t>212,6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краевой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1094,6</w:t>
            </w:r>
          </w:p>
        </w:tc>
        <w:tc>
          <w:tcPr>
            <w:tcW w:w="876" w:type="dxa"/>
          </w:tcPr>
          <w:p w:rsidR="004D4D9B" w:rsidRDefault="004D4D9B" w:rsidP="004D4D9B">
            <w:r w:rsidRPr="000445E7">
              <w:rPr>
                <w:rFonts w:eastAsia="Calibri"/>
              </w:rPr>
              <w:t>2</w:t>
            </w:r>
            <w:r>
              <w:rPr>
                <w:rFonts w:eastAsia="Calibri"/>
              </w:rPr>
              <w:t>35,2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85,0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136,6</w:t>
            </w:r>
          </w:p>
        </w:tc>
        <w:tc>
          <w:tcPr>
            <w:tcW w:w="876" w:type="dxa"/>
          </w:tcPr>
          <w:p w:rsidR="004D4D9B" w:rsidRDefault="004D4D9B" w:rsidP="004D4D9B">
            <w:r w:rsidRPr="000445E7">
              <w:rPr>
                <w:rFonts w:eastAsia="Calibri"/>
              </w:rPr>
              <w:t>212,6</w:t>
            </w:r>
          </w:p>
        </w:tc>
        <w:tc>
          <w:tcPr>
            <w:tcW w:w="876" w:type="dxa"/>
          </w:tcPr>
          <w:p w:rsidR="004D4D9B" w:rsidRDefault="004D4D9B" w:rsidP="004D4D9B">
            <w:r w:rsidRPr="000445E7">
              <w:rPr>
                <w:rFonts w:eastAsia="Calibri"/>
              </w:rPr>
              <w:t>212,6</w:t>
            </w:r>
          </w:p>
        </w:tc>
        <w:tc>
          <w:tcPr>
            <w:tcW w:w="942" w:type="dxa"/>
          </w:tcPr>
          <w:p w:rsidR="004D4D9B" w:rsidRDefault="004D4D9B" w:rsidP="004D4D9B">
            <w:r w:rsidRPr="000445E7">
              <w:rPr>
                <w:rFonts w:eastAsia="Calibri"/>
              </w:rPr>
              <w:t>212,6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2196,3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843,7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192,3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309,8</w:t>
            </w:r>
          </w:p>
        </w:tc>
        <w:tc>
          <w:tcPr>
            <w:tcW w:w="876" w:type="dxa"/>
          </w:tcPr>
          <w:p w:rsidR="004D4D9B" w:rsidRDefault="004D4D9B" w:rsidP="004D4D9B">
            <w:r w:rsidRPr="00210B61">
              <w:rPr>
                <w:rFonts w:eastAsia="Calibri"/>
              </w:rPr>
              <w:t>283,5</w:t>
            </w:r>
          </w:p>
        </w:tc>
        <w:tc>
          <w:tcPr>
            <w:tcW w:w="876" w:type="dxa"/>
          </w:tcPr>
          <w:p w:rsidR="004D4D9B" w:rsidRDefault="004D4D9B" w:rsidP="004D4D9B">
            <w:r w:rsidRPr="00210B61">
              <w:rPr>
                <w:rFonts w:eastAsia="Calibri"/>
              </w:rPr>
              <w:t>283,5</w:t>
            </w:r>
          </w:p>
        </w:tc>
        <w:tc>
          <w:tcPr>
            <w:tcW w:w="942" w:type="dxa"/>
          </w:tcPr>
          <w:p w:rsidR="004D4D9B" w:rsidRDefault="004D4D9B" w:rsidP="004D4D9B">
            <w:r w:rsidRPr="00210B61">
              <w:rPr>
                <w:rFonts w:eastAsia="Calibri"/>
              </w:rPr>
              <w:t>283,5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внебюджетные </w:t>
            </w:r>
            <w:r w:rsidRPr="0034226F">
              <w:rPr>
                <w:rFonts w:eastAsia="Calibri"/>
              </w:rPr>
              <w:t>источник</w:t>
            </w:r>
            <w:r>
              <w:rPr>
                <w:rFonts w:eastAsia="Calibri"/>
              </w:rPr>
              <w:t>и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6550,1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581,6</w:t>
            </w:r>
          </w:p>
        </w:tc>
        <w:tc>
          <w:tcPr>
            <w:tcW w:w="876" w:type="dxa"/>
          </w:tcPr>
          <w:p w:rsidR="004D4D9B" w:rsidRDefault="004D4D9B" w:rsidP="004D4D9B">
            <w:r>
              <w:rPr>
                <w:rFonts w:eastAsia="Calibri"/>
              </w:rPr>
              <w:t>937,9</w:t>
            </w:r>
          </w:p>
        </w:tc>
        <w:tc>
          <w:tcPr>
            <w:tcW w:w="941" w:type="dxa"/>
          </w:tcPr>
          <w:p w:rsidR="004D4D9B" w:rsidRDefault="004D4D9B" w:rsidP="004D4D9B">
            <w:r>
              <w:rPr>
                <w:rFonts w:eastAsia="Calibri"/>
              </w:rPr>
              <w:t>1082,6</w:t>
            </w:r>
          </w:p>
        </w:tc>
        <w:tc>
          <w:tcPr>
            <w:tcW w:w="876" w:type="dxa"/>
          </w:tcPr>
          <w:p w:rsidR="004D4D9B" w:rsidRDefault="004D4D9B" w:rsidP="004D4D9B">
            <w:r w:rsidRPr="00C343CE">
              <w:rPr>
                <w:rFonts w:eastAsia="Calibri"/>
              </w:rPr>
              <w:t>1316</w:t>
            </w:r>
          </w:p>
        </w:tc>
        <w:tc>
          <w:tcPr>
            <w:tcW w:w="876" w:type="dxa"/>
          </w:tcPr>
          <w:p w:rsidR="004D4D9B" w:rsidRDefault="004D4D9B" w:rsidP="004D4D9B">
            <w:r w:rsidRPr="00C343CE">
              <w:rPr>
                <w:rFonts w:eastAsia="Calibri"/>
              </w:rPr>
              <w:t>1316</w:t>
            </w:r>
          </w:p>
        </w:tc>
        <w:tc>
          <w:tcPr>
            <w:tcW w:w="942" w:type="dxa"/>
          </w:tcPr>
          <w:p w:rsidR="004D4D9B" w:rsidRDefault="004D4D9B" w:rsidP="004D4D9B">
            <w:r w:rsidRPr="00C343CE">
              <w:rPr>
                <w:rFonts w:eastAsia="Calibri"/>
              </w:rPr>
              <w:t>1316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Расходы на НИОКР (из строки 1)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в том числе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</w:t>
            </w:r>
            <w:r w:rsidRPr="0034226F">
              <w:rPr>
                <w:rFonts w:eastAsia="Calibri"/>
              </w:rPr>
              <w:t xml:space="preserve"> муниципального образования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краевой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внебюджетные</w:t>
            </w:r>
            <w:r w:rsidRPr="0034226F">
              <w:rPr>
                <w:rFonts w:eastAsia="Calibri"/>
              </w:rPr>
              <w:t xml:space="preserve"> источник</w:t>
            </w:r>
            <w:r>
              <w:rPr>
                <w:rFonts w:eastAsia="Calibri"/>
              </w:rPr>
              <w:t>и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Прочие расходы (из строки 1)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 w:rsidRPr="0034226F">
              <w:rPr>
                <w:rFonts w:eastAsia="Calibri"/>
              </w:rPr>
              <w:t>в том числе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районный</w:t>
            </w:r>
            <w:r w:rsidRPr="0034226F">
              <w:rPr>
                <w:rFonts w:eastAsia="Calibri"/>
              </w:rPr>
              <w:t xml:space="preserve"> бюджет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краевой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 бюджет</w:t>
            </w:r>
            <w:r w:rsidRPr="0034226F">
              <w:rPr>
                <w:rFonts w:eastAsia="Calibri"/>
              </w:rPr>
              <w:t xml:space="preserve"> (на условиях </w:t>
            </w:r>
            <w:proofErr w:type="spellStart"/>
            <w:r w:rsidRPr="0034226F">
              <w:rPr>
                <w:rFonts w:eastAsia="Calibri"/>
              </w:rPr>
              <w:t>софинансирования</w:t>
            </w:r>
            <w:proofErr w:type="spellEnd"/>
            <w:r w:rsidRPr="0034226F">
              <w:rPr>
                <w:rFonts w:eastAsia="Calibri"/>
              </w:rPr>
              <w:t>)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D9B" w:rsidRPr="0034226F" w:rsidTr="004D4D9B">
        <w:tc>
          <w:tcPr>
            <w:tcW w:w="368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внебюджетные</w:t>
            </w:r>
            <w:r w:rsidRPr="0034226F">
              <w:rPr>
                <w:rFonts w:eastAsia="Calibri"/>
              </w:rPr>
              <w:t xml:space="preserve"> источник</w:t>
            </w:r>
            <w:r>
              <w:rPr>
                <w:rFonts w:eastAsia="Calibri"/>
              </w:rPr>
              <w:t>и</w:t>
            </w:r>
          </w:p>
        </w:tc>
        <w:tc>
          <w:tcPr>
            <w:tcW w:w="102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1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6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2" w:type="dxa"/>
          </w:tcPr>
          <w:p w:rsidR="004D4D9B" w:rsidRPr="0034226F" w:rsidRDefault="004D4D9B" w:rsidP="004D4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F75540" w:rsidRDefault="00F75540" w:rsidP="00F75540">
      <w:pPr>
        <w:tabs>
          <w:tab w:val="left" w:pos="9781"/>
        </w:tabs>
        <w:jc w:val="center"/>
        <w:rPr>
          <w:szCs w:val="28"/>
        </w:rPr>
      </w:pPr>
    </w:p>
    <w:p w:rsidR="00F75540" w:rsidRDefault="00F75540" w:rsidP="00F75540"/>
    <w:sectPr w:rsidR="00F75540" w:rsidSect="00F75540">
      <w:pgSz w:w="11907" w:h="16840"/>
      <w:pgMar w:top="1134" w:right="851" w:bottom="1134" w:left="1701" w:header="357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1EF"/>
    <w:multiLevelType w:val="hybridMultilevel"/>
    <w:tmpl w:val="3E8AB74C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5540"/>
    <w:rsid w:val="000F06C7"/>
    <w:rsid w:val="001516F2"/>
    <w:rsid w:val="00312B20"/>
    <w:rsid w:val="0032599B"/>
    <w:rsid w:val="00326401"/>
    <w:rsid w:val="00366B70"/>
    <w:rsid w:val="003A2BF3"/>
    <w:rsid w:val="00413F53"/>
    <w:rsid w:val="004D4D9B"/>
    <w:rsid w:val="004E0BAF"/>
    <w:rsid w:val="00514F46"/>
    <w:rsid w:val="0062225F"/>
    <w:rsid w:val="00787FB4"/>
    <w:rsid w:val="0086747B"/>
    <w:rsid w:val="008B18C4"/>
    <w:rsid w:val="008F78E2"/>
    <w:rsid w:val="009B67B1"/>
    <w:rsid w:val="00B6131F"/>
    <w:rsid w:val="00BB1043"/>
    <w:rsid w:val="00BE496C"/>
    <w:rsid w:val="00C42029"/>
    <w:rsid w:val="00E17380"/>
    <w:rsid w:val="00E3240E"/>
    <w:rsid w:val="00E6604C"/>
    <w:rsid w:val="00F12DD7"/>
    <w:rsid w:val="00F75540"/>
    <w:rsid w:val="00FD2AB5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40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554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F75540"/>
    <w:rPr>
      <w:b/>
      <w:color w:val="000080"/>
    </w:rPr>
  </w:style>
  <w:style w:type="character" w:customStyle="1" w:styleId="a4">
    <w:name w:val="Гипертекстовая ссылка"/>
    <w:uiPriority w:val="99"/>
    <w:rsid w:val="00F75540"/>
    <w:rPr>
      <w:b/>
      <w:bCs/>
      <w:color w:val="106BBE"/>
    </w:rPr>
  </w:style>
  <w:style w:type="paragraph" w:styleId="a5">
    <w:name w:val="List Paragraph"/>
    <w:basedOn w:val="a"/>
    <w:link w:val="a6"/>
    <w:qFormat/>
    <w:rsid w:val="00F75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F75540"/>
    <w:rPr>
      <w:rFonts w:ascii="Calibri" w:eastAsia="Calibri" w:hAnsi="Calibri" w:cs="Times New Roman"/>
      <w:sz w:val="22"/>
    </w:rPr>
  </w:style>
  <w:style w:type="paragraph" w:customStyle="1" w:styleId="ConsPlusCell">
    <w:name w:val="ConsPlusCell"/>
    <w:rsid w:val="00F7554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2119;fld=134;dst=1002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6;n=22119;fld=134;dst=100228" TargetMode="External"/><Relationship Id="rId12" Type="http://schemas.openxmlformats.org/officeDocument/2006/relationships/hyperlink" Target="consultantplus://offline/main?base=RLAW016;n=28125;fld=134;dst=100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2119;fld=134;dst=100228" TargetMode="External"/><Relationship Id="rId11" Type="http://schemas.openxmlformats.org/officeDocument/2006/relationships/hyperlink" Target="garantf1://7174950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749506.10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2119;fld=134;dst=100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3797</Words>
  <Characters>21649</Characters>
  <Application>Microsoft Office Word</Application>
  <DocSecurity>0</DocSecurity>
  <Lines>180</Lines>
  <Paragraphs>50</Paragraphs>
  <ScaleCrop>false</ScaleCrop>
  <Company/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2020-06-22T04:04:00Z</dcterms:created>
  <dcterms:modified xsi:type="dcterms:W3CDTF">2022-11-15T07:26:00Z</dcterms:modified>
</cp:coreProperties>
</file>