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9572"/>
      </w:tblGrid>
      <w:tr w:rsidR="005B3FF2" w:rsidTr="005B3FF2">
        <w:trPr>
          <w:cnfStyle w:val="100000000000"/>
        </w:trPr>
        <w:tc>
          <w:tcPr>
            <w:cnfStyle w:val="001000000000"/>
            <w:tcW w:w="9572" w:type="dxa"/>
          </w:tcPr>
          <w:p w:rsidR="005B3FF2" w:rsidRPr="005B3FF2" w:rsidRDefault="005B3FF2" w:rsidP="005B3FF2">
            <w:pPr>
              <w:ind w:firstLine="0"/>
              <w:jc w:val="center"/>
              <w:rPr>
                <w:rStyle w:val="markedcontent"/>
                <w:rFonts w:cs="Times New Roman"/>
                <w:szCs w:val="26"/>
              </w:rPr>
            </w:pPr>
            <w:r w:rsidRPr="005B3FF2">
              <w:rPr>
                <w:rStyle w:val="markedcontent"/>
                <w:rFonts w:cs="Times New Roman"/>
                <w:szCs w:val="26"/>
              </w:rPr>
              <w:t xml:space="preserve">ОСНОВНЫЕ ПОКАЗАТЕЛИ ДЕЯТЕЛЬНОСТИ МАЛЫХ </w:t>
            </w:r>
          </w:p>
          <w:p w:rsidR="005B3FF2" w:rsidRPr="005B3FF2" w:rsidRDefault="005B3FF2" w:rsidP="005B3FF2">
            <w:pPr>
              <w:ind w:firstLine="0"/>
              <w:jc w:val="center"/>
              <w:rPr>
                <w:rStyle w:val="markedcontent"/>
                <w:rFonts w:cs="Times New Roman"/>
                <w:szCs w:val="26"/>
              </w:rPr>
            </w:pPr>
            <w:r w:rsidRPr="005B3FF2">
              <w:rPr>
                <w:rStyle w:val="markedcontent"/>
                <w:rFonts w:cs="Times New Roman"/>
                <w:szCs w:val="26"/>
              </w:rPr>
              <w:t>(ВКЛЮЧАЯ МИКРОПРЕДПРИЯТИЯ) И СРЕДНИХ ПРЕДПРИЯТИЙ</w:t>
            </w:r>
          </w:p>
          <w:p w:rsidR="005B3FF2" w:rsidRDefault="00424577" w:rsidP="005B3FF2">
            <w:pPr>
              <w:ind w:firstLine="0"/>
              <w:jc w:val="center"/>
              <w:rPr>
                <w:rStyle w:val="markedcontent"/>
                <w:rFonts w:cs="Times New Roman"/>
                <w:sz w:val="26"/>
                <w:szCs w:val="26"/>
              </w:rPr>
            </w:pPr>
            <w:r>
              <w:rPr>
                <w:rStyle w:val="markedcontent"/>
                <w:rFonts w:cs="Times New Roman"/>
                <w:szCs w:val="26"/>
              </w:rPr>
              <w:t>БЕЛОВСКОГО СЕЛЬСОВЕТА</w:t>
            </w:r>
          </w:p>
        </w:tc>
      </w:tr>
    </w:tbl>
    <w:p w:rsidR="005B3FF2" w:rsidRDefault="005B3FF2" w:rsidP="005B3FF2">
      <w:pPr>
        <w:spacing w:after="0"/>
        <w:ind w:firstLine="0"/>
        <w:jc w:val="center"/>
        <w:rPr>
          <w:rFonts w:cs="Times New Roman"/>
        </w:rPr>
      </w:pPr>
    </w:p>
    <w:p w:rsidR="005B3FF2" w:rsidRPr="005B3FF2" w:rsidRDefault="005B3FF2" w:rsidP="005B3FF2">
      <w:pPr>
        <w:spacing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 xml:space="preserve"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</w:t>
      </w:r>
    </w:p>
    <w:tbl>
      <w:tblPr>
        <w:tblStyle w:val="-1"/>
        <w:tblW w:w="0" w:type="auto"/>
        <w:jc w:val="center"/>
        <w:tblLook w:val="04A0"/>
      </w:tblPr>
      <w:tblGrid>
        <w:gridCol w:w="4928"/>
        <w:gridCol w:w="3190"/>
      </w:tblGrid>
      <w:tr w:rsidR="005B3FF2" w:rsidRPr="005B3FF2" w:rsidTr="005B3FF2">
        <w:trPr>
          <w:cnfStyle w:val="1000000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EE1494">
            <w:pPr>
              <w:jc w:val="center"/>
              <w:rPr>
                <w:sz w:val="24"/>
                <w:szCs w:val="28"/>
              </w:rPr>
            </w:pPr>
            <w:r w:rsidRPr="005B3FF2">
              <w:rPr>
                <w:sz w:val="24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5B3FF2" w:rsidRPr="005B3FF2" w:rsidRDefault="005B3FF2" w:rsidP="00EE1494">
            <w:pPr>
              <w:jc w:val="center"/>
              <w:cnfStyle w:val="100000000000"/>
              <w:rPr>
                <w:sz w:val="24"/>
                <w:szCs w:val="28"/>
              </w:rPr>
            </w:pPr>
            <w:r w:rsidRPr="005B3FF2">
              <w:rPr>
                <w:sz w:val="24"/>
                <w:szCs w:val="28"/>
              </w:rPr>
              <w:t>оценочно</w:t>
            </w:r>
          </w:p>
        </w:tc>
      </w:tr>
      <w:tr w:rsidR="005B3FF2" w:rsidRPr="005B3FF2" w:rsidTr="005B3FF2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Оборот розничной торговли, млн. руб.</w:t>
            </w:r>
          </w:p>
        </w:tc>
        <w:tc>
          <w:tcPr>
            <w:tcW w:w="3190" w:type="dxa"/>
          </w:tcPr>
          <w:p w:rsidR="005B3FF2" w:rsidRPr="005B3FF2" w:rsidRDefault="00C86B50" w:rsidP="00EE1494">
            <w:pPr>
              <w:jc w:val="center"/>
              <w:cnfStyle w:val="00000010000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5</w:t>
            </w:r>
            <w:r w:rsidR="00F94350">
              <w:rPr>
                <w:color w:val="auto"/>
                <w:sz w:val="24"/>
                <w:szCs w:val="28"/>
              </w:rPr>
              <w:t>0</w:t>
            </w:r>
          </w:p>
        </w:tc>
      </w:tr>
      <w:tr w:rsidR="005B3FF2" w:rsidRPr="005B3FF2" w:rsidTr="005B3FF2">
        <w:trPr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Оборот общественного питания, млн. руб.</w:t>
            </w:r>
          </w:p>
        </w:tc>
        <w:tc>
          <w:tcPr>
            <w:tcW w:w="3190" w:type="dxa"/>
          </w:tcPr>
          <w:p w:rsidR="005B3FF2" w:rsidRPr="005B3FF2" w:rsidRDefault="00F94350" w:rsidP="00EE1494">
            <w:pPr>
              <w:jc w:val="center"/>
              <w:cnfStyle w:val="00000000000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</w:tr>
      <w:tr w:rsidR="005B3FF2" w:rsidRPr="005B3FF2" w:rsidTr="005B3FF2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Платные услуги населению, млн. руб.</w:t>
            </w:r>
          </w:p>
        </w:tc>
        <w:tc>
          <w:tcPr>
            <w:tcW w:w="3190" w:type="dxa"/>
          </w:tcPr>
          <w:p w:rsidR="005B3FF2" w:rsidRPr="005B3FF2" w:rsidRDefault="00F94350" w:rsidP="00EE1494">
            <w:pPr>
              <w:jc w:val="center"/>
              <w:cnfStyle w:val="00000010000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</w:tr>
    </w:tbl>
    <w:p w:rsidR="005B3FF2" w:rsidRPr="008D3EEE" w:rsidRDefault="005B3FF2" w:rsidP="005B3FF2">
      <w:pPr>
        <w:jc w:val="center"/>
        <w:rPr>
          <w:szCs w:val="28"/>
        </w:rPr>
      </w:pPr>
    </w:p>
    <w:p w:rsidR="005B3FF2" w:rsidRPr="005B3FF2" w:rsidRDefault="005B3FF2" w:rsidP="005B3FF2">
      <w:pPr>
        <w:spacing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 xml:space="preserve">О финансово-экономическом состоянии субъектов малого и среднего предпринимательства 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По состоянию на  первое ноября  текущего года в районе зарегистрировано </w:t>
      </w:r>
      <w:r w:rsidR="00F94350">
        <w:rPr>
          <w:szCs w:val="28"/>
        </w:rPr>
        <w:t>27</w:t>
      </w:r>
      <w:r w:rsidRPr="005B3FF2">
        <w:rPr>
          <w:szCs w:val="28"/>
        </w:rPr>
        <w:t xml:space="preserve"> субъектов малого и среднего предпринимательства,  в том числе </w:t>
      </w:r>
      <w:r w:rsidR="00F94350">
        <w:rPr>
          <w:szCs w:val="28"/>
        </w:rPr>
        <w:t>25</w:t>
      </w:r>
      <w:r w:rsidRPr="005B3FF2">
        <w:rPr>
          <w:szCs w:val="28"/>
        </w:rPr>
        <w:t xml:space="preserve"> индивидуальных предпринимателей и </w:t>
      </w:r>
      <w:r w:rsidR="00F94350">
        <w:rPr>
          <w:szCs w:val="28"/>
        </w:rPr>
        <w:t>2</w:t>
      </w:r>
      <w:r w:rsidRPr="005B3FF2">
        <w:rPr>
          <w:szCs w:val="28"/>
        </w:rPr>
        <w:t xml:space="preserve"> юридических лиц. Индивидуальные предприниматели составляют </w:t>
      </w:r>
      <w:r w:rsidR="00F94350">
        <w:rPr>
          <w:szCs w:val="28"/>
        </w:rPr>
        <w:t>93</w:t>
      </w:r>
      <w:r w:rsidRPr="005B3FF2">
        <w:rPr>
          <w:szCs w:val="28"/>
        </w:rPr>
        <w:t xml:space="preserve">% от общего числа субъектов. В течение года число вновь зарегистрированных субъектов предпринимательской деятельности составило </w:t>
      </w:r>
      <w:r w:rsidR="00F94350">
        <w:rPr>
          <w:szCs w:val="28"/>
        </w:rPr>
        <w:t>3</w:t>
      </w:r>
      <w:r>
        <w:rPr>
          <w:szCs w:val="28"/>
        </w:rPr>
        <w:t>.</w:t>
      </w:r>
      <w:r w:rsidRPr="005B3FF2">
        <w:rPr>
          <w:szCs w:val="28"/>
        </w:rPr>
        <w:t xml:space="preserve"> 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С 1 июля 2020 года на территории Алтайского края начал действовать новый специальный налоговый режим  «Налог на профессиональный доход» или «налог на </w:t>
      </w:r>
      <w:proofErr w:type="spellStart"/>
      <w:r w:rsidRPr="005B3FF2">
        <w:rPr>
          <w:szCs w:val="28"/>
        </w:rPr>
        <w:t>самозанятых</w:t>
      </w:r>
      <w:proofErr w:type="spellEnd"/>
      <w:r w:rsidRPr="005B3FF2">
        <w:rPr>
          <w:szCs w:val="28"/>
        </w:rPr>
        <w:t xml:space="preserve">» (Закон Алтайского края «О введении на территории Алтайского края специального налогового режима «Налог на профессиональный доход»). В  </w:t>
      </w:r>
      <w:r w:rsidR="001C6831">
        <w:rPr>
          <w:szCs w:val="28"/>
        </w:rPr>
        <w:t>2021 году 5</w:t>
      </w:r>
      <w:r w:rsidRPr="005B3FF2">
        <w:rPr>
          <w:szCs w:val="28"/>
        </w:rPr>
        <w:t xml:space="preserve"> граждан нашего </w:t>
      </w:r>
      <w:r w:rsidR="001C6831">
        <w:rPr>
          <w:szCs w:val="28"/>
        </w:rPr>
        <w:t>поселения</w:t>
      </w:r>
      <w:r w:rsidRPr="005B3FF2">
        <w:rPr>
          <w:szCs w:val="28"/>
        </w:rPr>
        <w:t xml:space="preserve"> зарегистрировались в  качестве </w:t>
      </w:r>
      <w:proofErr w:type="spellStart"/>
      <w:r w:rsidRPr="005B3FF2">
        <w:rPr>
          <w:szCs w:val="28"/>
        </w:rPr>
        <w:t>самозанятых</w:t>
      </w:r>
      <w:proofErr w:type="spellEnd"/>
      <w:r w:rsidRPr="005B3FF2">
        <w:rPr>
          <w:szCs w:val="28"/>
        </w:rPr>
        <w:t>.</w:t>
      </w:r>
    </w:p>
    <w:p w:rsidR="001C6831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>Наибольший удельный вес в экономике района занимают  основные виды деятельности - растениеводство и животноводство (</w:t>
      </w:r>
      <w:r w:rsidR="001C6831">
        <w:rPr>
          <w:szCs w:val="28"/>
        </w:rPr>
        <w:t>12</w:t>
      </w:r>
      <w:r w:rsidRPr="005B3FF2">
        <w:rPr>
          <w:szCs w:val="28"/>
        </w:rPr>
        <w:t>),</w:t>
      </w:r>
      <w:r w:rsidR="001C6831" w:rsidRPr="001C6831">
        <w:rPr>
          <w:szCs w:val="28"/>
        </w:rPr>
        <w:t xml:space="preserve"> </w:t>
      </w:r>
      <w:r w:rsidR="001C6831" w:rsidRPr="005B3FF2">
        <w:rPr>
          <w:szCs w:val="28"/>
        </w:rPr>
        <w:t>торговля розничная (</w:t>
      </w:r>
      <w:r w:rsidR="001C6831">
        <w:rPr>
          <w:szCs w:val="28"/>
        </w:rPr>
        <w:t>3</w:t>
      </w:r>
      <w:r w:rsidR="001C6831" w:rsidRPr="005B3FF2">
        <w:rPr>
          <w:szCs w:val="28"/>
        </w:rPr>
        <w:t>)</w:t>
      </w:r>
      <w:r w:rsidR="001C6831">
        <w:rPr>
          <w:szCs w:val="28"/>
        </w:rPr>
        <w:t>.</w:t>
      </w:r>
      <w:r w:rsidRPr="005B3FF2">
        <w:rPr>
          <w:szCs w:val="28"/>
        </w:rPr>
        <w:t xml:space="preserve"> </w:t>
      </w:r>
    </w:p>
    <w:p w:rsidR="005B3FF2" w:rsidRDefault="005B3FF2" w:rsidP="005B3FF2">
      <w:pPr>
        <w:spacing w:after="0"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5B3FF2" w:rsidRPr="005B3FF2" w:rsidRDefault="005B3FF2" w:rsidP="005B3FF2">
      <w:pPr>
        <w:spacing w:after="0" w:line="240" w:lineRule="auto"/>
        <w:ind w:firstLine="0"/>
        <w:jc w:val="center"/>
        <w:rPr>
          <w:b/>
          <w:color w:val="365F91" w:themeColor="accent1" w:themeShade="BF"/>
          <w:szCs w:val="28"/>
        </w:rPr>
      </w:pPr>
    </w:p>
    <w:tbl>
      <w:tblPr>
        <w:tblStyle w:val="-1"/>
        <w:tblW w:w="0" w:type="auto"/>
        <w:jc w:val="center"/>
        <w:tblLook w:val="04A0"/>
      </w:tblPr>
      <w:tblGrid>
        <w:gridCol w:w="7479"/>
        <w:gridCol w:w="1701"/>
      </w:tblGrid>
      <w:tr w:rsidR="005B3FF2" w:rsidTr="002108D5">
        <w:trPr>
          <w:cnfStyle w:val="100000000000"/>
          <w:jc w:val="center"/>
        </w:trPr>
        <w:tc>
          <w:tcPr>
            <w:cnfStyle w:val="001000000000"/>
            <w:tcW w:w="7479" w:type="dxa"/>
          </w:tcPr>
          <w:p w:rsidR="005B3FF2" w:rsidRDefault="005B3FF2" w:rsidP="005B3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5B3FF2" w:rsidRDefault="005B3FF2" w:rsidP="00D14FDB">
            <w:pPr>
              <w:ind w:firstLine="0"/>
              <w:jc w:val="center"/>
              <w:cnfStyle w:val="100000000000"/>
              <w:rPr>
                <w:szCs w:val="28"/>
              </w:rPr>
            </w:pPr>
            <w:r w:rsidRPr="008D3EEE">
              <w:rPr>
                <w:szCs w:val="28"/>
              </w:rPr>
              <w:t>оценочно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Численность занятых в экономике, чел.</w:t>
            </w:r>
          </w:p>
        </w:tc>
        <w:tc>
          <w:tcPr>
            <w:tcW w:w="1701" w:type="dxa"/>
          </w:tcPr>
          <w:p w:rsidR="005B3FF2" w:rsidRPr="005B3FF2" w:rsidRDefault="005B3FF2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 w:rsidRPr="005B3FF2">
              <w:rPr>
                <w:color w:val="auto"/>
                <w:sz w:val="24"/>
                <w:szCs w:val="24"/>
              </w:rPr>
              <w:t>1563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Сельское хозяйство, чел.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</w:t>
            </w:r>
            <w:r w:rsidR="005B3FF2" w:rsidRPr="005B3FF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Обрабатывающие  производства, чел.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Оптовая и розничная торговля, чел.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Предприятия общественного питания и гостиницы и чел.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Транспорт и связь, чел.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1C6831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 xml:space="preserve">Ремонт автотранспортных средств, чел. 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Здравоохранение и прочие социальные услуги, чел.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Строительство, чел.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lastRenderedPageBreak/>
              <w:t>Культура, спорт, организация досуга, чел.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Образование, чел.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Водоснабжение, водоотведение, организация сбора и утилизация отходов, чел.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Транспортировка и хранение, чел.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Деятельность по операциям с недвижимым имуществом, чел.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 xml:space="preserve">Деятельность профессиональная, научная, техническая, чел. 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 xml:space="preserve">Деятельность административная и сопутствующие дополнительные услуги, чел. 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Обеспечение электрической энергией, газом и паром, чел.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Предоставление прочих видов услуг, чел.</w:t>
            </w:r>
          </w:p>
        </w:tc>
        <w:tc>
          <w:tcPr>
            <w:tcW w:w="1701" w:type="dxa"/>
          </w:tcPr>
          <w:p w:rsidR="005B3FF2" w:rsidRPr="005B3FF2" w:rsidRDefault="001C6831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</w:tbl>
    <w:p w:rsidR="005B3FF2" w:rsidRPr="005B3FF2" w:rsidRDefault="005B3FF2" w:rsidP="005B3FF2">
      <w:pPr>
        <w:spacing w:line="240" w:lineRule="auto"/>
        <w:jc w:val="both"/>
        <w:rPr>
          <w:szCs w:val="28"/>
        </w:rPr>
      </w:pPr>
    </w:p>
    <w:p w:rsidR="005B3FF2" w:rsidRPr="005B3FF2" w:rsidRDefault="005B3FF2" w:rsidP="005B3FF2">
      <w:pPr>
        <w:spacing w:after="0"/>
        <w:ind w:firstLine="0"/>
        <w:jc w:val="center"/>
        <w:rPr>
          <w:rFonts w:cs="Times New Roman"/>
        </w:rPr>
      </w:pPr>
    </w:p>
    <w:sectPr w:rsidR="005B3FF2" w:rsidRPr="005B3FF2" w:rsidSect="005B3FF2">
      <w:pgSz w:w="11907" w:h="16840"/>
      <w:pgMar w:top="993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5B3FF2"/>
    <w:rsid w:val="00104678"/>
    <w:rsid w:val="001C6831"/>
    <w:rsid w:val="002108D5"/>
    <w:rsid w:val="0032599B"/>
    <w:rsid w:val="00413F53"/>
    <w:rsid w:val="00424577"/>
    <w:rsid w:val="004E0BAF"/>
    <w:rsid w:val="005B3FF2"/>
    <w:rsid w:val="00787FB4"/>
    <w:rsid w:val="007D15BC"/>
    <w:rsid w:val="0086747B"/>
    <w:rsid w:val="009810C7"/>
    <w:rsid w:val="00B6131F"/>
    <w:rsid w:val="00B97776"/>
    <w:rsid w:val="00C12744"/>
    <w:rsid w:val="00C86B50"/>
    <w:rsid w:val="00D14FDB"/>
    <w:rsid w:val="00E3240E"/>
    <w:rsid w:val="00E6604C"/>
    <w:rsid w:val="00F733F8"/>
    <w:rsid w:val="00F94350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B3FF2"/>
  </w:style>
  <w:style w:type="table" w:styleId="a3">
    <w:name w:val="Table Grid"/>
    <w:basedOn w:val="a1"/>
    <w:uiPriority w:val="59"/>
    <w:rsid w:val="005B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5B3F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2021-12-08T06:02:00Z</dcterms:created>
  <dcterms:modified xsi:type="dcterms:W3CDTF">2021-12-08T08:27:00Z</dcterms:modified>
</cp:coreProperties>
</file>